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KVALITU ŠKOL PODPOŘÍ LEPŠÍ SPOLUPRÁCE KRAJE, MĚST A OBCÍ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  <w:t xml:space="preserve">Kraj Vysočina je v rámci České republiky charakteristický vysokým počtem obcí na svém území. Ačkoliv náš region patří počtem obyvatel mezi ty nejmenší, nachází se v něm 704 obcí (více jich je již jen ve Středočeském kraji). Výskyt vysokého počtu menších obcí souvisí velice úzce se vzdělávací soustavou. Jednotlivé školy a školská zařízení jsou rozmístěné po celém území kraje včetně odlehlejších lokalit. Pro obyvatele těchto menších obcí je to výhodné z hlediska dostupnosti míst poskytování vzdělávání a školských služeb. Na druhou stranu může být v těchto lokalitách problém sehnat kvalifikované a aprobované učitele či zajistit kvalitní poskytování souvisejících služeb (např. IT řešení). Navíc jsou ředitelé těchto škol přehlceni administrativou, kterou musí zvládat sami a která nabývá podobných rozměrů jako tomu je u větších škol.</w:t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  <w:t xml:space="preserve">Ke zvýšení kvality vzdělávání při současném zachování jeho dostupnosti může přispět vytvoření tzv. středního článku. Zjednodušeně řečeno, veřejné střední a vyšší odborné školy jsou obvykle zřizovány krajem a základní a mateřské školy obcemi. Samostatné zřizovatele mají školy soukromé a církevní. Na vzdělávací soustavu je nutné nahlížet komplexně a odmítnout argument, že odpovědnost za základní školy nesou výhradně obce, za střední školy zodpovídá jen kraj a školy jiných zřizovatelů stojí mimo zájem pozornosti. Kvalita a dostupnost vzdělávání musí být společným zájmem kraje, měst a obcí, jelikož to výrazným způsobem pomáhá rozvoji celého regionu.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Při diskuzích s jihlavským radním pro oblast školství, kultury a tělovýchovy Danielem Škarkou vzešla myšlenka na vytvoření uskupení sdružujícího školy v regionu a zajišťujícího jejich spolupráci, možnou výměnu zkušeností, metodickou podporu a navázání dialogu mezi jednotlivými zřizovateli škol. Pro efektivní činnost tohoto uskupení, fungujícího jako střední článek ve vzdělávání, by byla její působnost lokalizována na území obce s rozšířenou působností. </w:t>
      </w:r>
      <w:r w:rsidDel="00000000" w:rsidR="00000000" w:rsidRPr="00000000">
        <w:rPr>
          <w:rtl w:val="0"/>
        </w:rPr>
        <w:t xml:space="preserve">Vznik tohoto subjektu by nepředstavoval žádnou výraznou finanční zátěž pro jednotlivé školy, </w:t>
      </w:r>
      <w:r w:rsidDel="00000000" w:rsidR="00000000" w:rsidRPr="00000000">
        <w:rPr>
          <w:rtl w:val="0"/>
        </w:rPr>
        <w:t xml:space="preserve">jeho založení by aktivně podpořili jejich zřizovatelé. Školám by mimo jiné vzniklý subjekt umožnil sdílení materiálních a personálních kapacit v regionu. Vhodně nastavená spolupráce škol povede k řešení některých výrazných současných problémů vzdělávacího systému jako jsou předčasné odchody ze vzdělávání či závislost výsledků vzdělávání na socioekonomickém statutu žáka.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Navržené řešení je navíc v souladu s často zmiňovaným strategickým dokumentem Hlavní směry vzdělávací politiky ČR do roku 2030+. Ten připravila expertní skupina pod hlavičkou Ministerstva školství, mládeže a tělovýchovy ČR. Tato strategie identifikuje současné problémy českého vzdělávacího systému a představuje konkrétní kroky k jejich nápravě. Jednou ze strategických linií představených v dokumentu je koncentrace odborných kapacit v územích (vznik středního článku). Nutno podotknout, že navržené opatření přispěje k řešení více záměrů přijímané strategie. Zajistí podporu učitelů a ředitelů a dalších pracovníků ve vzdělávání či zvýší odborné kapacity, důvěru a vzájemnou spolupráci.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