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Důvodová zpráva k návrhu rozpočtu krajského sdružení na rok 2025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Milí členové krajského sdružení,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jako Jihočeské předsednictvo vám předkládáme k projednání a schválení návrh rozpočtu pro rok 2025. Tento dokument reflektuje naše současné finanční možnosti i potřebu efektivně alokovat prostředky, zejména pro nadcházející volby.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Návrh rozpočtu vychází z reálných odhadů příjmů a výdajů, které byly stanoveny na základě údajů z minulých let, predikce výsledků hospodaření, a také plánovaných aktivit.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Celkové příjmy činí </w:t>
      </w:r>
      <w:r w:rsidDel="00000000" w:rsidR="00000000" w:rsidRPr="00000000">
        <w:rPr>
          <w:b w:val="1"/>
          <w:rtl w:val="0"/>
        </w:rPr>
        <w:t xml:space="preserve">2 202 tis. Kč</w:t>
      </w:r>
      <w:r w:rsidDel="00000000" w:rsidR="00000000" w:rsidRPr="00000000">
        <w:rPr>
          <w:rtl w:val="0"/>
        </w:rPr>
        <w:t xml:space="preserve">, přičemž klíčovou roli zde hraje podíl na státních příspěvcích a převod výsledku hospodaření z předchozího roku.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straně výdajů, které jsou rozpočtovány ve výši </w:t>
      </w:r>
      <w:r w:rsidDel="00000000" w:rsidR="00000000" w:rsidRPr="00000000">
        <w:rPr>
          <w:b w:val="1"/>
          <w:rtl w:val="0"/>
        </w:rPr>
        <w:t xml:space="preserve">2 074 tis. Kč</w:t>
      </w:r>
      <w:r w:rsidDel="00000000" w:rsidR="00000000" w:rsidRPr="00000000">
        <w:rPr>
          <w:rtl w:val="0"/>
        </w:rPr>
        <w:t xml:space="preserve">, zůstává důraz na podporu místních týmů, provozní zabezpečení, mediální činnost a především přípravu na nadcházející parlamentní volby.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Rozpočet je sestaven tak, abychom investovali co nejvyšší množství prostředků na kampaň do Poslanecké sněmovny, ale odráží i případný neúspěch ve volbách (který prostě může nastat).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1k0tymh771l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Klíčové body návrhu: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Příjmy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Nejvýznamnější příjmovou položkou je převod výsledku hospodaření z roku 2024 (1 491 tis. Kč).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Zůstává podíl z příspěvku na mandát poslance (446 tis. Kč) a členské příspěvky (10 tis. Kč).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Podnájem z Čepice přinese dalších 22 tis. Kč, přičemž nájemní smlouva končí k 1. únoru 2025.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Výdaje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 parlamentní volby alokujeme </w:t>
      </w:r>
      <w:r w:rsidDel="00000000" w:rsidR="00000000" w:rsidRPr="00000000">
        <w:rPr>
          <w:b w:val="1"/>
          <w:rtl w:val="0"/>
        </w:rPr>
        <w:t xml:space="preserve">1 100 000 ,- Kč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z toho 300 tis. Kč zůstává přímo v kraji na lokální aktivity. Počítáme s tím, že letos bude podpora z centrály značná (i vzhledem k tomu, že kraje posílají na centrálu cca 10 mil. Kč)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Prostředky pro místní sdružení byly rozděleny dle kritérií, které reflektují velikost obce, Počet zastupitelů či členstva a Regp, celkem rozdělujeme </w:t>
      </w:r>
      <w:r w:rsidDel="00000000" w:rsidR="00000000" w:rsidRPr="00000000">
        <w:rPr>
          <w:b w:val="1"/>
          <w:rtl w:val="0"/>
        </w:rPr>
        <w:t xml:space="preserve">224 tis. Kč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Mediální tým má k dispozici 100 tis. Kč na správu sociálních sítí, což je klíčové pro udržení naší viditelnosti.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Rezerva předsednictva činí 400 tis. Kč. Tato rezerva slouží k pokrytí neočekávaných výdajů. Pokud peníze ušetříme, bude směřována na komunální volby v roce 2026.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Saldo ve výši 128 tis. Kč</w:t>
      </w:r>
      <w:r w:rsidDel="00000000" w:rsidR="00000000" w:rsidRPr="00000000">
        <w:rPr>
          <w:rtl w:val="0"/>
        </w:rPr>
        <w:t xml:space="preserve"> zajišťuje finanční stabilitu a flexibilitu pro případ neočekávaných výdajů nebo změn v příjmech.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Tento návrh nám umožní nejen efektivně pokračovat v naší činnosti, ale také se připravit na důležité politické výzvy, které nás čekají v roce 2025.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Děkujeme za vaši podporu a spolupráci.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