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F2" w:rsidRPr="007839A6" w:rsidRDefault="009C3110" w:rsidP="007839A6">
      <w:pPr>
        <w:rPr>
          <w:b/>
        </w:rPr>
      </w:pPr>
      <w:r w:rsidRPr="007839A6">
        <w:rPr>
          <w:b/>
        </w:rPr>
        <w:t>Podání na MFČR se zaručeným elektronickým podpisem</w:t>
      </w:r>
    </w:p>
    <w:p w:rsidR="00875A74" w:rsidRDefault="009C3110" w:rsidP="00257FC0">
      <w:pPr>
        <w:jc w:val="both"/>
      </w:pPr>
      <w:proofErr w:type="spellStart"/>
      <w:r>
        <w:t>Gro</w:t>
      </w:r>
      <w:proofErr w:type="spellEnd"/>
      <w:r>
        <w:t xml:space="preserve"> problému tkví v ustanovení § 71 odst. 1 písm. </w:t>
      </w:r>
      <w:r w:rsidRPr="00875A74">
        <w:rPr>
          <w:b/>
        </w:rPr>
        <w:t>a)</w:t>
      </w:r>
      <w:r>
        <w:t xml:space="preserve"> daňového řádu. Toto ustanovení umožňuje podat podání v daňových věcech písemně, ústně do protokolu nebo datovou zprávou, která je podepsaná způsobem, se kterým jiný právní předpis spojuje účinky vlastnoručního podpisu. Podle § 6, odst. 1 a 2 zákona č. 297/2016 Sb., je uznávaným elektronickým podpisem rozumí zaručený elektronický podpis založený na kvalifikovaném certifikátu pro elektronický podpis nebo kvalifikovaný elektronický podpis.</w:t>
      </w:r>
      <w:r w:rsidR="006C4257">
        <w:t xml:space="preserve"> </w:t>
      </w:r>
      <w:r w:rsidR="00257FC0">
        <w:t>Dále přikládám „</w:t>
      </w:r>
      <w:proofErr w:type="spellStart"/>
      <w:r w:rsidR="00257FC0">
        <w:t>výcuc</w:t>
      </w:r>
      <w:proofErr w:type="spellEnd"/>
      <w:r w:rsidR="00257FC0">
        <w:t xml:space="preserve">“ z komentáře k daňovému řádu. K tomu si dovolím dodat, že zákon o elektronickém podpisu v komentáři označován jako </w:t>
      </w:r>
      <w:proofErr w:type="spellStart"/>
      <w:r w:rsidR="00257FC0">
        <w:t>ElPod</w:t>
      </w:r>
      <w:proofErr w:type="spellEnd"/>
      <w:r w:rsidR="00257FC0">
        <w:t xml:space="preserve">, byl s účinností k 19. 9. 2016 zrušen a nahrazen zákonem č. 279/2016 Sb. Legální definice datové zprávy je tak dnes obsažena v zákoně o elektronických úkonech a autorizované konverzi dokumentů, avšak zde se jedná o definici datové zprávy ve vztahu k používání datových schránek, přičemž tomuto druhu podání je v daňovém řádu věnováno ustanovení § 71 odst. 1 písm. </w:t>
      </w:r>
      <w:r w:rsidR="00257FC0" w:rsidRPr="00257FC0">
        <w:rPr>
          <w:b/>
        </w:rPr>
        <w:t>b)</w:t>
      </w:r>
      <w:r w:rsidR="00875A74">
        <w:t xml:space="preserve">. </w:t>
      </w:r>
      <w:r w:rsidR="00EC595A">
        <w:t>Zákon je zmatený, ale argumentace níže je podle mého názoru dobrá.</w:t>
      </w:r>
      <w:r w:rsidR="00875A74">
        <w:t xml:space="preserve"> </w:t>
      </w:r>
    </w:p>
    <w:p w:rsidR="006C4257" w:rsidRPr="00257FC0" w:rsidRDefault="006C4257" w:rsidP="00257FC0">
      <w:pPr>
        <w:spacing w:after="60"/>
        <w:jc w:val="both"/>
        <w:rPr>
          <w:i/>
        </w:rPr>
      </w:pPr>
      <w:r w:rsidRPr="00257FC0">
        <w:rPr>
          <w:rFonts w:ascii="Calibri"/>
          <w:i/>
          <w:color w:val="000000"/>
        </w:rPr>
        <w:t xml:space="preserve">Je-li tak datová zpráva podepsána takovýmto druhem elektronického podpisu, je s to se stát kvalifikovaným podáním. Pro tyto účely je však nezbytné, aby byla adresátu zákonem předvídaným způsobem doručena. Možnosti elektronické komunikace pak umožňují více způsobů elektronického doručování. </w:t>
      </w:r>
    </w:p>
    <w:p w:rsidR="006C4257" w:rsidRPr="00257FC0" w:rsidRDefault="006C4257" w:rsidP="00257FC0">
      <w:pPr>
        <w:spacing w:after="60"/>
        <w:jc w:val="both"/>
        <w:rPr>
          <w:i/>
        </w:rPr>
      </w:pPr>
      <w:r w:rsidRPr="00257FC0">
        <w:rPr>
          <w:rFonts w:ascii="Calibri"/>
          <w:i/>
          <w:color w:val="000000"/>
        </w:rPr>
        <w:t xml:space="preserve">Nejsložitější je situace u klasické </w:t>
      </w:r>
      <w:proofErr w:type="spellStart"/>
      <w:r w:rsidRPr="00257FC0">
        <w:rPr>
          <w:rFonts w:ascii="Calibri"/>
          <w:i/>
          <w:color w:val="000000"/>
        </w:rPr>
        <w:t>mailové</w:t>
      </w:r>
      <w:proofErr w:type="spellEnd"/>
      <w:r w:rsidRPr="00257FC0">
        <w:rPr>
          <w:rFonts w:ascii="Calibri"/>
          <w:i/>
          <w:color w:val="000000"/>
        </w:rPr>
        <w:t xml:space="preserve"> komunikace. Finanční správa, která se na správě daní podílí největší měrou, obecně kvalifikovanou formu komunikace skrze e-maily neuznává. Sice je zřízena spousta adres elektronické pošty mnohdy dokonce nazvaných jako podatelna, avšak tyto nejsou pohledem </w:t>
      </w:r>
      <w:hyperlink r:id="rId4">
        <w:r w:rsidRPr="00257FC0">
          <w:rPr>
            <w:rFonts w:ascii="Calibri"/>
            <w:i/>
            <w:color w:val="853536"/>
          </w:rPr>
          <w:t>§ 56</w:t>
        </w:r>
      </w:hyperlink>
      <w:r w:rsidRPr="00257FC0">
        <w:rPr>
          <w:rFonts w:ascii="Calibri"/>
          <w:i/>
          <w:color w:val="000000"/>
        </w:rPr>
        <w:t xml:space="preserve"> odst. 1 písm. b) DŘ označeny jakožto elektronická adresa podatelny.</w:t>
      </w:r>
    </w:p>
    <w:p w:rsidR="006C4257" w:rsidRPr="00257FC0" w:rsidRDefault="006C4257" w:rsidP="00257FC0">
      <w:pPr>
        <w:spacing w:after="60"/>
        <w:jc w:val="both"/>
        <w:rPr>
          <w:i/>
        </w:rPr>
      </w:pPr>
      <w:r w:rsidRPr="00257FC0">
        <w:rPr>
          <w:rFonts w:ascii="Calibri"/>
          <w:i/>
          <w:color w:val="000000"/>
        </w:rPr>
        <w:t xml:space="preserve">V této souvislosti je nutno zmínit, že s účinností od 1. 7. 2012 došlo ke změně </w:t>
      </w:r>
      <w:hyperlink r:id="rId5">
        <w:r w:rsidRPr="00257FC0">
          <w:rPr>
            <w:rFonts w:ascii="Calibri"/>
            <w:i/>
            <w:color w:val="853536"/>
          </w:rPr>
          <w:t>§ 11</w:t>
        </w:r>
      </w:hyperlink>
      <w:r w:rsidRPr="00257FC0">
        <w:rPr>
          <w:rFonts w:ascii="Calibri"/>
          <w:i/>
          <w:color w:val="000000"/>
        </w:rPr>
        <w:t xml:space="preserve"> odst. 4 </w:t>
      </w:r>
      <w:proofErr w:type="spellStart"/>
      <w:r w:rsidRPr="00257FC0">
        <w:rPr>
          <w:rFonts w:ascii="Calibri"/>
          <w:i/>
          <w:color w:val="000000"/>
        </w:rPr>
        <w:t>ElPod</w:t>
      </w:r>
      <w:proofErr w:type="spellEnd"/>
      <w:r w:rsidRPr="00257FC0">
        <w:rPr>
          <w:rFonts w:ascii="Calibri"/>
          <w:i/>
          <w:color w:val="000000"/>
        </w:rPr>
        <w:t>, který do té doby upravoval elektronické podatelny. Institut elektronické podatelny tak byl de facto zrušen, a právní úprava byla nadále soustředěna do zákona č. </w:t>
      </w:r>
      <w:hyperlink r:id="rId6">
        <w:r w:rsidRPr="00257FC0">
          <w:rPr>
            <w:rFonts w:ascii="Calibri"/>
            <w:i/>
            <w:color w:val="853536"/>
          </w:rPr>
          <w:t>499/2004 Sb.</w:t>
        </w:r>
      </w:hyperlink>
      <w:r w:rsidRPr="00257FC0">
        <w:rPr>
          <w:rFonts w:ascii="Calibri"/>
          <w:i/>
          <w:color w:val="000000"/>
        </w:rPr>
        <w:t>, o archivnictví a spisové službě, potažmo do jeho</w:t>
      </w:r>
    </w:p>
    <w:p w:rsidR="006C4257" w:rsidRPr="00257FC0" w:rsidRDefault="006C4257" w:rsidP="00257FC0">
      <w:pPr>
        <w:spacing w:after="60"/>
        <w:jc w:val="both"/>
        <w:rPr>
          <w:i/>
        </w:rPr>
      </w:pPr>
      <w:r w:rsidRPr="00257FC0">
        <w:rPr>
          <w:rFonts w:ascii="Calibri"/>
          <w:i/>
          <w:color w:val="000000"/>
        </w:rPr>
        <w:t>prováděcích předpisů. Pozůstatky elektronických podatelen napříč celým právním řádem, daňový řád nevyjímaje, pak lze zcela jistě považovat za šlendrián zákonodárce. Uvedená změna měla zcela zásadní vliv na podání činěná formou datové zprávy.</w:t>
      </w:r>
    </w:p>
    <w:p w:rsidR="006C4257" w:rsidRPr="00257FC0" w:rsidRDefault="006C4257" w:rsidP="00257FC0">
      <w:pPr>
        <w:spacing w:after="60"/>
        <w:jc w:val="both"/>
        <w:rPr>
          <w:i/>
        </w:rPr>
      </w:pPr>
      <w:r w:rsidRPr="00257FC0">
        <w:rPr>
          <w:rFonts w:ascii="Calibri"/>
          <w:i/>
          <w:color w:val="000000"/>
        </w:rPr>
        <w:t xml:space="preserve">Dne 1. 8. 2012 vstoupil v účinnost prováděcí předpis k </w:t>
      </w:r>
      <w:hyperlink r:id="rId7">
        <w:r w:rsidRPr="00257FC0">
          <w:rPr>
            <w:rFonts w:ascii="Calibri"/>
            <w:i/>
            <w:color w:val="853536"/>
          </w:rPr>
          <w:t xml:space="preserve">§ 70 </w:t>
        </w:r>
        <w:proofErr w:type="spellStart"/>
        <w:r w:rsidRPr="00257FC0">
          <w:rPr>
            <w:rFonts w:ascii="Calibri"/>
            <w:i/>
            <w:color w:val="853536"/>
          </w:rPr>
          <w:t>ArchZ</w:t>
        </w:r>
        <w:proofErr w:type="spellEnd"/>
      </w:hyperlink>
      <w:r w:rsidRPr="00257FC0">
        <w:rPr>
          <w:rFonts w:ascii="Calibri"/>
          <w:i/>
          <w:color w:val="000000"/>
        </w:rPr>
        <w:t xml:space="preserve">. Předmětná vyhláška Ministerstva vnitra č. </w:t>
      </w:r>
      <w:hyperlink r:id="rId8">
        <w:r w:rsidRPr="00257FC0">
          <w:rPr>
            <w:rFonts w:ascii="Calibri"/>
            <w:i/>
            <w:color w:val="853536"/>
          </w:rPr>
          <w:t>259/2012 Sb.</w:t>
        </w:r>
      </w:hyperlink>
      <w:r w:rsidRPr="00257FC0">
        <w:rPr>
          <w:rFonts w:ascii="Calibri"/>
          <w:i/>
          <w:color w:val="000000"/>
        </w:rPr>
        <w:t xml:space="preserve">, ve svém § 2 zavádí povinnost všem veřejnoprávním původcům, správce daně nevyjímaje, vybavit podatelnu zařízením umožňujícím příjem datových zpráv doručovaných na elektronické adresy podatelny zveřejněné podle odstavce 3 písm. c) citované vyhlášky. </w:t>
      </w:r>
      <w:r w:rsidRPr="00257FC0">
        <w:rPr>
          <w:rFonts w:ascii="Calibri"/>
          <w:b/>
          <w:i/>
          <w:color w:val="000000"/>
          <w:u w:val="single"/>
        </w:rPr>
        <w:t>Odkazované ustanovení citované vyhlášky přitom ohledně elektronických adres podatelny uvádí, že se jedná o adresy elektronické pošty. Znamená to tak, že každý veřejnoprávní původce má povinnost komunikovat minimálně skrze adresu elektronické pošty, za kterou je považována e-</w:t>
      </w:r>
      <w:proofErr w:type="spellStart"/>
      <w:r w:rsidRPr="00257FC0">
        <w:rPr>
          <w:rFonts w:ascii="Calibri"/>
          <w:b/>
          <w:i/>
          <w:color w:val="000000"/>
          <w:u w:val="single"/>
        </w:rPr>
        <w:t>mailová</w:t>
      </w:r>
      <w:proofErr w:type="spellEnd"/>
      <w:r w:rsidRPr="00257FC0">
        <w:rPr>
          <w:rFonts w:ascii="Calibri"/>
          <w:b/>
          <w:i/>
          <w:color w:val="000000"/>
          <w:u w:val="single"/>
        </w:rPr>
        <w:t xml:space="preserve"> adresa. </w:t>
      </w:r>
      <w:r w:rsidRPr="00257FC0">
        <w:rPr>
          <w:rFonts w:ascii="Calibri"/>
          <w:i/>
          <w:color w:val="000000"/>
        </w:rPr>
        <w:t>Ba co víc, v § 5 odst. 1 citované vyhlášky je stanoveno, že pokud byl dokument v digitální podobě úředního charakteru zaslán na adresu elektronické pošty zřízenou veřejnoprávním původcem, která nebyla veřejnoprávním původcem zveřejněna podle § 2 odst. 3 písm. c) jako elektronická adresa podatelny, bude bezodkladně zabezpečeno její dodatečné označení a zaevidování. Jinými slovy, jsou-li u příslušného správce daně zřízeny i jiné e-</w:t>
      </w:r>
      <w:proofErr w:type="spellStart"/>
      <w:r w:rsidRPr="00257FC0">
        <w:rPr>
          <w:rFonts w:ascii="Calibri"/>
          <w:i/>
          <w:color w:val="000000"/>
        </w:rPr>
        <w:t>mailové</w:t>
      </w:r>
      <w:proofErr w:type="spellEnd"/>
      <w:r w:rsidRPr="00257FC0">
        <w:rPr>
          <w:rFonts w:ascii="Calibri"/>
          <w:i/>
          <w:color w:val="000000"/>
        </w:rPr>
        <w:t xml:space="preserve"> adresy, pak v případě doručení podání na tyto je povinností správce daně zajistit dodatečné zaevidování stejně tak, jako by se jednalo o podání uskutečněné na elektronickou adresu podatelny. Z užitých slov „dodatečné zaevidování“ je přitom </w:t>
      </w:r>
      <w:r w:rsidRPr="00257FC0">
        <w:rPr>
          <w:rFonts w:ascii="Calibri"/>
          <w:i/>
          <w:color w:val="000000"/>
        </w:rPr>
        <w:lastRenderedPageBreak/>
        <w:t>nutno dojít k závěru, že účinky podání na lhůty zůstávají tímto podáním zachovány, pakliže k odeslání datové zprávy došlo ve lhůtě.</w:t>
      </w:r>
    </w:p>
    <w:p w:rsidR="006C4257" w:rsidRPr="00257FC0" w:rsidRDefault="006C4257" w:rsidP="00257FC0">
      <w:pPr>
        <w:spacing w:after="60"/>
        <w:jc w:val="both"/>
        <w:rPr>
          <w:b/>
          <w:i/>
        </w:rPr>
      </w:pPr>
      <w:r w:rsidRPr="00257FC0">
        <w:rPr>
          <w:rFonts w:ascii="Calibri"/>
          <w:b/>
          <w:i/>
          <w:color w:val="000000"/>
        </w:rPr>
        <w:t xml:space="preserve">Finanční správa se tak, nejspíše z důvodu absolutní nepřehlednosti a roztříštěnosti právních předpisů, stala obětí své vlastní originality. Všichni veřejnoprávní původci (srov. </w:t>
      </w:r>
      <w:hyperlink r:id="rId9">
        <w:r w:rsidRPr="00257FC0">
          <w:rPr>
            <w:rFonts w:ascii="Calibri"/>
            <w:b/>
            <w:i/>
            <w:color w:val="853536"/>
          </w:rPr>
          <w:t>§ 3</w:t>
        </w:r>
      </w:hyperlink>
      <w:r w:rsidRPr="00257FC0">
        <w:rPr>
          <w:rFonts w:ascii="Calibri"/>
          <w:b/>
          <w:i/>
          <w:color w:val="000000"/>
        </w:rPr>
        <w:t xml:space="preserve"> odst. 1 </w:t>
      </w:r>
      <w:proofErr w:type="spellStart"/>
      <w:r w:rsidRPr="00257FC0">
        <w:rPr>
          <w:rFonts w:ascii="Calibri"/>
          <w:b/>
          <w:i/>
          <w:color w:val="000000"/>
        </w:rPr>
        <w:t>ArchZ</w:t>
      </w:r>
      <w:proofErr w:type="spellEnd"/>
      <w:r w:rsidRPr="00257FC0">
        <w:rPr>
          <w:rFonts w:ascii="Calibri"/>
          <w:b/>
          <w:i/>
          <w:color w:val="000000"/>
        </w:rPr>
        <w:t>) pro účely elektronické komunikace od počátku používají e-</w:t>
      </w:r>
      <w:proofErr w:type="spellStart"/>
      <w:r w:rsidRPr="00257FC0">
        <w:rPr>
          <w:rFonts w:ascii="Calibri"/>
          <w:b/>
          <w:i/>
          <w:color w:val="000000"/>
        </w:rPr>
        <w:t>mailovou</w:t>
      </w:r>
      <w:proofErr w:type="spellEnd"/>
      <w:r w:rsidRPr="00257FC0">
        <w:rPr>
          <w:rFonts w:ascii="Calibri"/>
          <w:b/>
          <w:i/>
          <w:color w:val="000000"/>
        </w:rPr>
        <w:t xml:space="preserve"> komunikaci, a tehdejší daňová správa v tom nebyla výjimkou. Tehdejší daňová správa ji však rozšířila o své EPO formuláře, které následně mylně začala považovat za její plnohodnotnou náhradu. Tato forma elektronické komunikace skrze web </w:t>
      </w:r>
      <w:hyperlink r:id="rId10">
        <w:r w:rsidRPr="00257FC0">
          <w:rPr>
            <w:rFonts w:ascii="Calibri"/>
            <w:b/>
            <w:i/>
            <w:color w:val="853536"/>
          </w:rPr>
          <w:t>www.daneelektronicky.cz</w:t>
        </w:r>
      </w:hyperlink>
      <w:r w:rsidRPr="00257FC0">
        <w:rPr>
          <w:rFonts w:ascii="Calibri"/>
          <w:b/>
          <w:i/>
          <w:color w:val="000000"/>
        </w:rPr>
        <w:t xml:space="preserve"> však není elektronickou komunikací na bázi datových zpráv doručovaných na elektronickou adresu podatelny. Proto k dnešnímu dni finanční správa neplní svou bazální povinnost komunikovat elektronicky skrze základní formu této komunikace (e-mail). Ba co víc, některé daňové subjekty považují tuto e-</w:t>
      </w:r>
      <w:proofErr w:type="spellStart"/>
      <w:r w:rsidRPr="00257FC0">
        <w:rPr>
          <w:rFonts w:ascii="Calibri"/>
          <w:b/>
          <w:i/>
          <w:color w:val="000000"/>
        </w:rPr>
        <w:t>mailovou</w:t>
      </w:r>
      <w:proofErr w:type="spellEnd"/>
      <w:r w:rsidRPr="00257FC0">
        <w:rPr>
          <w:rFonts w:ascii="Calibri"/>
          <w:b/>
          <w:i/>
          <w:color w:val="000000"/>
        </w:rPr>
        <w:t xml:space="preserve"> formu komunikace pod vysokými sankcemi za jedinou možnou (viz </w:t>
      </w:r>
      <w:hyperlink r:id="rId11">
        <w:r w:rsidRPr="00257FC0">
          <w:rPr>
            <w:rFonts w:ascii="Calibri"/>
            <w:b/>
            <w:i/>
            <w:color w:val="853536"/>
          </w:rPr>
          <w:t>§ 101a</w:t>
        </w:r>
      </w:hyperlink>
      <w:r w:rsidRPr="00257FC0">
        <w:rPr>
          <w:rFonts w:ascii="Calibri"/>
          <w:b/>
          <w:i/>
          <w:color w:val="000000"/>
        </w:rPr>
        <w:t xml:space="preserve">, </w:t>
      </w:r>
      <w:hyperlink r:id="rId12">
        <w:r w:rsidRPr="00257FC0">
          <w:rPr>
            <w:rFonts w:ascii="Calibri"/>
            <w:b/>
            <w:i/>
            <w:color w:val="853536"/>
          </w:rPr>
          <w:t>101d</w:t>
        </w:r>
      </w:hyperlink>
      <w:r w:rsidRPr="00257FC0">
        <w:rPr>
          <w:rFonts w:ascii="Calibri"/>
          <w:b/>
          <w:i/>
          <w:color w:val="000000"/>
        </w:rPr>
        <w:t xml:space="preserve"> a </w:t>
      </w:r>
      <w:hyperlink r:id="rId13">
        <w:r w:rsidRPr="00257FC0">
          <w:rPr>
            <w:rFonts w:ascii="Calibri"/>
            <w:b/>
            <w:i/>
            <w:color w:val="853536"/>
          </w:rPr>
          <w:t>102 DPHZ</w:t>
        </w:r>
      </w:hyperlink>
      <w:r w:rsidRPr="00257FC0">
        <w:rPr>
          <w:rFonts w:ascii="Calibri"/>
          <w:b/>
          <w:i/>
          <w:color w:val="000000"/>
        </w:rPr>
        <w:t xml:space="preserve"> ve znění účinném v době vydání tohoto komentáře)!</w:t>
      </w:r>
    </w:p>
    <w:p w:rsidR="006C4257" w:rsidRDefault="006C4257" w:rsidP="00257FC0">
      <w:pPr>
        <w:jc w:val="both"/>
      </w:pPr>
    </w:p>
    <w:p w:rsidR="00FB415B" w:rsidRDefault="00FB415B" w:rsidP="00257FC0">
      <w:pPr>
        <w:jc w:val="both"/>
      </w:pPr>
      <w:r>
        <w:t>11. dubna 2017, Viktorie Kalhousová</w:t>
      </w:r>
    </w:p>
    <w:sectPr w:rsidR="00FB415B" w:rsidSect="007853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3110"/>
    <w:rsid w:val="000856DF"/>
    <w:rsid w:val="00133DD7"/>
    <w:rsid w:val="00231E09"/>
    <w:rsid w:val="00257FC0"/>
    <w:rsid w:val="004D0FF2"/>
    <w:rsid w:val="006C4257"/>
    <w:rsid w:val="007839A6"/>
    <w:rsid w:val="007853F2"/>
    <w:rsid w:val="00875A74"/>
    <w:rsid w:val="009C3110"/>
    <w:rsid w:val="00A13218"/>
    <w:rsid w:val="00BA3B2F"/>
    <w:rsid w:val="00EC595A"/>
    <w:rsid w:val="00ED4545"/>
    <w:rsid w:val="00FB41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3F2"/>
  </w:style>
  <w:style w:type="paragraph" w:styleId="Nadpis2">
    <w:name w:val="heading 2"/>
    <w:basedOn w:val="Normln"/>
    <w:next w:val="Normln"/>
    <w:link w:val="Nadpis2Char"/>
    <w:uiPriority w:val="9"/>
    <w:unhideWhenUsed/>
    <w:qFormat/>
    <w:rsid w:val="00875A74"/>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75A74"/>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ezf6mrvhe" TargetMode="External"/><Relationship Id="rId13" Type="http://schemas.openxmlformats.org/officeDocument/2006/relationships/hyperlink" Target="http://www.beck-online.cz/bo/document-view.seam?documentId=onrf6mrqga2f6mrtguxhazrrgaza" TargetMode="External"/><Relationship Id="rId3" Type="http://schemas.openxmlformats.org/officeDocument/2006/relationships/webSettings" Target="webSettings.xml"/><Relationship Id="rId7" Type="http://schemas.openxmlformats.org/officeDocument/2006/relationships/hyperlink" Target="http://www.beck-online.cz/bo/document-view.seam?documentId=onrf6mrqga2f6nbzhexhazrxga" TargetMode="External"/><Relationship Id="rId12" Type="http://schemas.openxmlformats.org/officeDocument/2006/relationships/hyperlink" Target="http://www.beck-online.cz/bo/document-view.seam?documentId=onrf6mrqga2f6mrtguxhazrrgayw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k-online.cz/bo/document-view.seam?documentId=onrf6mrqga2f6nbzhe" TargetMode="External"/><Relationship Id="rId11" Type="http://schemas.openxmlformats.org/officeDocument/2006/relationships/hyperlink" Target="http://www.beck-online.cz/bo/document-view.seam?documentId=onrf6mrqga2f6mrtguxhazrrgaywc" TargetMode="External"/><Relationship Id="rId5" Type="http://schemas.openxmlformats.org/officeDocument/2006/relationships/hyperlink" Target="http://www.beck-online.cz/bo/document-view.seam?documentId=onrf6mrqgayf6mrsg4xhazrrge" TargetMode="External"/><Relationship Id="rId15" Type="http://schemas.openxmlformats.org/officeDocument/2006/relationships/theme" Target="theme/theme1.xml"/><Relationship Id="rId10" Type="http://schemas.openxmlformats.org/officeDocument/2006/relationships/hyperlink" Target="http://www.daneelektronicky.cz" TargetMode="External"/><Relationship Id="rId4" Type="http://schemas.openxmlformats.org/officeDocument/2006/relationships/hyperlink" Target="http://www.beck-online.cz/bo/document-view.seam?documentId=onrf6mrqga4v6mrygaxhazrvgy" TargetMode="External"/><Relationship Id="rId9" Type="http://schemas.openxmlformats.org/officeDocument/2006/relationships/hyperlink" Target="http://www.beck-online.cz/bo/document-view.seam?documentId=onrf6mrqga2f6nbzhexhazrt"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cp:revision>
  <cp:lastPrinted>2017-04-11T13:22:00Z</cp:lastPrinted>
  <dcterms:created xsi:type="dcterms:W3CDTF">2017-04-11T12:36:00Z</dcterms:created>
  <dcterms:modified xsi:type="dcterms:W3CDTF">2017-04-11T13:22:00Z</dcterms:modified>
</cp:coreProperties>
</file>