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7A" w:rsidRDefault="00651B74">
      <w:pPr>
        <w:rPr>
          <w:b/>
          <w:sz w:val="24"/>
        </w:rPr>
      </w:pPr>
      <w:r>
        <w:rPr>
          <w:b/>
          <w:sz w:val="24"/>
        </w:rPr>
        <w:t>Důvodová zpráva k návrhu rozpočtu na rok 2024</w:t>
      </w:r>
    </w:p>
    <w:p w:rsidR="00EB5A7A" w:rsidRDefault="00651B74">
      <w:r>
        <w:t>Návrh rozpočtu je sestaven jako vyrovnaný a je předkládán s rozpočtovým výhledem na roky 2024 – 2026. Z rozpočtového výhledu je patrné, že průměrné roční výdaje přesahují průměrné roční příjmy v průměru o cca 1 mil Kč v průměru. Pro vyrovnání rozpočtu je d</w:t>
      </w:r>
      <w:r>
        <w:t xml:space="preserve">louhodobě zapojován výsledek hospodaření minulých let. </w:t>
      </w:r>
    </w:p>
    <w:p w:rsidR="00EB5A7A" w:rsidRDefault="00651B74">
      <w:r>
        <w:t xml:space="preserve">Pro rok 2024 je zapojen výsledek hospodaření ve výši cca 3 milionu korun na navýšení rozpočtu volební kampaně do Evropského parlamentu. Celkový rozpočet na volby do Evropského parlamentu je ze zdrojů </w:t>
      </w:r>
      <w:r>
        <w:t xml:space="preserve">centrály plánován ve výši 8 milionů korun (1 milion alokován již v roce 2023, 7 milionů pak na rok 2024) a počítá s navýšením až na 11 milionů díky zapojení příspěvků krajů a </w:t>
      </w:r>
      <w:proofErr w:type="spellStart"/>
      <w:r>
        <w:t>fundraisingu</w:t>
      </w:r>
      <w:proofErr w:type="spellEnd"/>
      <w:r>
        <w:t>. Na volby krajské je plánováno v rozpočtu centrály 2024 se 3,5 milio</w:t>
      </w:r>
      <w:r>
        <w:t xml:space="preserve">ny korun a na volby senátní 1,5 miliony korun. Celkový výdaje centrály na tyto volební kampaně jsou plánovány ve výši 13 mil Kč. </w:t>
      </w:r>
    </w:p>
    <w:p w:rsidR="00EB5A7A" w:rsidRDefault="00651B74">
      <w:r>
        <w:t xml:space="preserve">Pokud sečteme předpokládané příjmy a zapojenou část výsledku hospodaření, dostáváme se na předpokládanou výši příjmů centrály </w:t>
      </w:r>
      <w:r>
        <w:t xml:space="preserve">na úrovni necelých 33 milionů korun pro rok 2024 (přesně 32, 850 mil Kč). Do této výše jsou směřovány plánované výdaje. </w:t>
      </w:r>
    </w:p>
    <w:p w:rsidR="00EB5A7A" w:rsidRDefault="00651B74">
      <w:r>
        <w:t>Z výhledu rozpočtu lze vyčíst dvě důležité informace – většina výdajů strany má povahu (mandatorních) provozních nákladů, které mají te</w:t>
      </w:r>
      <w:r>
        <w:t>ndenci v čase růst (navyšování odměn o inflaci, rozvoj týmů, technického vybavení apod.), zatímco příjmy zůstávají stejné, protože stát nevalorizuje příspěvky na činnost politických stran, příspěvky za hlasy apod. To znamená, že každoroční rozdíl mezi příj</w:t>
      </w:r>
      <w:r>
        <w:t>my a výdaji se zvětšuje a výsledek hospodaření, který vytváří finanční rezervu na budoucí volební kampaně, se ztenčuje</w:t>
      </w:r>
      <w:r>
        <w:rPr>
          <w:rStyle w:val="Znakapoznpodarou"/>
        </w:rPr>
        <w:footnoteReference w:id="1"/>
      </w:r>
      <w:r>
        <w:t xml:space="preserve">. </w:t>
      </w:r>
    </w:p>
    <w:p w:rsidR="00EB5A7A" w:rsidRDefault="00651B74">
      <w:r>
        <w:t>Je evidentní, že pro dlouhodobou udržitelnost rozpočtu centrály strany je nezbytné se zaměřit na příjmovou stránku. Způsoby navýšení p</w:t>
      </w:r>
      <w:r>
        <w:t>říjmové stránky jsou ve své podstatě dva – zaujmout více voličů nebo zaujmout více dárců. Aktuální výhled je nastaven na obhajobu všech mandátů v roce 2024 (Evropský parlament, krajské volby, senát) a zisk 22,5 mandátů v Poslanecké sněmovně v roce 2025. Ch</w:t>
      </w:r>
      <w:r>
        <w:t>ceme-li si výhled rozpočtu zlepšit, musíme získat více mandátů v příštím roce a více poslanců v roce 2025. Čím výše bude volební výsledek nad 10%, tím lepší bude finanční výhled pro roky následující. Klíčový bude výsledek sněmovních voleb 2025, na který se</w:t>
      </w:r>
      <w:r>
        <w:t xml:space="preserve"> musíme zaměřit. U dárců se nám </w:t>
      </w:r>
      <w:proofErr w:type="spellStart"/>
      <w:r>
        <w:t>fundraising</w:t>
      </w:r>
      <w:proofErr w:type="spellEnd"/>
      <w:r>
        <w:t xml:space="preserve"> daří v období kampaní a konkrétních projektů, příjem pro centrálu je ale ve srovnání s tím mnohem nižší. Tomu je potřeba dát nyní prioritu, stabilizovat fundraisingový tým, spustit projekt velkých dárců a zaměřit</w:t>
      </w:r>
      <w:r>
        <w:t xml:space="preserve"> na zvýšení darů pro centrálu a zajistit jejich předvídatelnost v čase.</w:t>
      </w:r>
    </w:p>
    <w:p w:rsidR="00EB5A7A" w:rsidRDefault="00651B74">
      <w:r>
        <w:t xml:space="preserve">Návrh výdajů rozpočtu centrály pro rok 2024 je za Republikové předsednictvo ve výši 32,877 milionů korun viz Tabulka 1. Jedná se o výdaje, které připravili jednotliví vedoucí odborů a </w:t>
      </w:r>
      <w:r>
        <w:t>týmů a které předložili vedoucímu kanceláře. S vedoucími odborů proběhla 3. 10. nad výší jednotlivých položek a záměrů diskuse s vedoucím kanceláře. Po této diskusi došlo ještě k návrhu následujících změn:</w:t>
      </w:r>
    </w:p>
    <w:p w:rsidR="00EB5A7A" w:rsidRDefault="00651B74">
      <w:pPr>
        <w:numPr>
          <w:ilvl w:val="0"/>
          <w:numId w:val="1"/>
        </w:numPr>
      </w:pPr>
      <w:r>
        <w:t>Provozní výdaje MO byly upraveny na maximální výši</w:t>
      </w:r>
      <w:r>
        <w:t xml:space="preserve"> 10,424 mil Kč (oproti požadavku 11,066 mil)</w:t>
      </w:r>
    </w:p>
    <w:p w:rsidR="00EB5A7A" w:rsidRDefault="00651B74">
      <w:pPr>
        <w:numPr>
          <w:ilvl w:val="0"/>
          <w:numId w:val="1"/>
        </w:numPr>
      </w:pPr>
      <w:r>
        <w:lastRenderedPageBreak/>
        <w:t>Provozní výdaje TO byly upraveny na maximální výši 4,677 mil Kč (oproti požadavku 4,775 mil)</w:t>
      </w:r>
    </w:p>
    <w:p w:rsidR="00EB5A7A" w:rsidRDefault="00651B74">
      <w:pPr>
        <w:numPr>
          <w:ilvl w:val="0"/>
          <w:numId w:val="1"/>
        </w:numPr>
      </w:pPr>
      <w:r>
        <w:t xml:space="preserve">výdaje na položku Respekt je </w:t>
      </w:r>
      <w:proofErr w:type="spellStart"/>
      <w:r>
        <w:t>profi</w:t>
      </w:r>
      <w:proofErr w:type="spellEnd"/>
      <w:r>
        <w:t xml:space="preserve"> byly upraveny na 470 tis Kč (při zachování personálních nákladů, snížením provozníc</w:t>
      </w:r>
      <w:r>
        <w:t>h nákladů na 50 tis a zahrnutím vzdělávání do jiných nákladů na vzdělávání PO)</w:t>
      </w:r>
    </w:p>
    <w:p w:rsidR="00EB5A7A" w:rsidRDefault="00651B74">
      <w:r>
        <w:t xml:space="preserve">Po projednání na půdě RP se ještě objevil požadavek Mladého </w:t>
      </w:r>
      <w:proofErr w:type="spellStart"/>
      <w:r>
        <w:t>pirátstva</w:t>
      </w:r>
      <w:proofErr w:type="spellEnd"/>
      <w:r>
        <w:t>, které letos hospodařilo s částkou 34 tisíc. Kvůli již uzavřenému modelu příjmu a návrhu výdajů předáváme t</w:t>
      </w:r>
      <w:r>
        <w:t xml:space="preserve">oto k jednání na půdu RV. </w:t>
      </w:r>
    </w:p>
    <w:p w:rsidR="00EB5A7A" w:rsidRDefault="00651B74">
      <w:r>
        <w:rPr>
          <w:i/>
          <w:iCs/>
        </w:rPr>
        <w:t>Tabulka 1 – Návrh výdajových položek rozpočtu centrály strany 2024</w:t>
      </w:r>
      <w:r>
        <w:t xml:space="preserve"> </w:t>
      </w:r>
    </w:p>
    <w:p w:rsidR="00EB5A7A" w:rsidRDefault="00651B74">
      <w:r>
        <w:rPr>
          <w:noProof/>
          <w:lang w:eastAsia="cs-CZ"/>
        </w:rPr>
        <w:drawing>
          <wp:inline distT="0" distB="0" distL="0" distR="0">
            <wp:extent cx="3368040" cy="4899660"/>
            <wp:effectExtent l="0" t="0" r="0" b="0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1F3" w:rsidRDefault="006941F3" w:rsidP="006941F3">
      <w:pPr>
        <w:pStyle w:val="western"/>
        <w:spacing w:after="198"/>
      </w:pPr>
      <w:r>
        <w:t xml:space="preserve">Podrobné detaily k návrhu rozpočtu od RP jsou k dispozici zde: </w:t>
      </w:r>
      <w:hyperlink r:id="rId8" w:history="1">
        <w:r>
          <w:rPr>
            <w:rStyle w:val="Hypertextovodkaz"/>
            <w:rFonts w:eastAsia="Arial"/>
          </w:rPr>
          <w:t>https://mrak.pirati.cz/f/3759706</w:t>
        </w:r>
      </w:hyperlink>
    </w:p>
    <w:p w:rsidR="00EB5A7A" w:rsidRDefault="00EB5A7A">
      <w:bookmarkStart w:id="0" w:name="_GoBack"/>
      <w:bookmarkEnd w:id="0"/>
    </w:p>
    <w:sectPr w:rsidR="00EB5A7A">
      <w:headerReference w:type="default" r:id="rId9"/>
      <w:pgSz w:w="11906" w:h="16838"/>
      <w:pgMar w:top="1134" w:right="850" w:bottom="1134" w:left="170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74" w:rsidRDefault="00651B74">
      <w:pPr>
        <w:spacing w:after="0" w:line="240" w:lineRule="auto"/>
      </w:pPr>
      <w:r>
        <w:separator/>
      </w:r>
    </w:p>
  </w:endnote>
  <w:endnote w:type="continuationSeparator" w:id="0">
    <w:p w:rsidR="00651B74" w:rsidRDefault="0065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74" w:rsidRDefault="00651B74">
      <w:pPr>
        <w:rPr>
          <w:sz w:val="12"/>
        </w:rPr>
      </w:pPr>
      <w:r>
        <w:separator/>
      </w:r>
    </w:p>
  </w:footnote>
  <w:footnote w:type="continuationSeparator" w:id="0">
    <w:p w:rsidR="00651B74" w:rsidRDefault="00651B74">
      <w:pPr>
        <w:rPr>
          <w:sz w:val="12"/>
        </w:rPr>
      </w:pPr>
      <w:r>
        <w:continuationSeparator/>
      </w:r>
    </w:p>
  </w:footnote>
  <w:footnote w:id="1">
    <w:p w:rsidR="00EB5A7A" w:rsidRDefault="00651B74">
      <w:pPr>
        <w:pStyle w:val="Textpoznpodarou"/>
      </w:pPr>
      <w:r>
        <w:rPr>
          <w:rStyle w:val="Znakypropoznmkupodarou"/>
        </w:rPr>
        <w:footnoteRef/>
      </w:r>
      <w:r>
        <w:t>Např. v roce 2026 vychází ve výhledu odhad výsledku hospodaření 20,6 mil korun. Je</w:t>
      </w:r>
      <w:r>
        <w:t xml:space="preserve"> to první rok po sněmovních </w:t>
      </w:r>
      <w:proofErr w:type="gramStart"/>
      <w:r>
        <w:t>volbách a pokud</w:t>
      </w:r>
      <w:proofErr w:type="gramEnd"/>
      <w:r>
        <w:t xml:space="preserve"> bychom alokovali na kampaň na sněmovní volby v roce 2029 prostředky ve stejné výši jako 2025, tedy 18 mil, zbude nám z výsledku hospodaření pro roky 2027 a 2028 2,6 miliony korun.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7A" w:rsidRDefault="00EB5A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F69"/>
    <w:multiLevelType w:val="multilevel"/>
    <w:tmpl w:val="B7B64B9E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D9C05FE"/>
    <w:multiLevelType w:val="multilevel"/>
    <w:tmpl w:val="2C0E9F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</w:compat>
  <w:rsids>
    <w:rsidRoot w:val="00EB5A7A"/>
    <w:rsid w:val="00651B74"/>
    <w:rsid w:val="006941F3"/>
    <w:rsid w:val="00E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64BB-0E3C-48D9-864A-FEAB737C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qFormat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NzevChar">
    <w:name w:val="Název Char"/>
    <w:link w:val="Nzev"/>
    <w:uiPriority w:val="10"/>
    <w:qFormat/>
    <w:rPr>
      <w:sz w:val="48"/>
      <w:szCs w:val="48"/>
    </w:rPr>
  </w:style>
  <w:style w:type="character" w:customStyle="1" w:styleId="PodnadpisChar">
    <w:name w:val="Podnadpis Char"/>
    <w:link w:val="Podnadpis"/>
    <w:uiPriority w:val="11"/>
    <w:qFormat/>
    <w:rPr>
      <w:sz w:val="24"/>
      <w:szCs w:val="24"/>
    </w:rPr>
  </w:style>
  <w:style w:type="character" w:customStyle="1" w:styleId="CittChar">
    <w:name w:val="Citát Char"/>
    <w:link w:val="Citt"/>
    <w:uiPriority w:val="29"/>
    <w:qFormat/>
    <w:rPr>
      <w:i/>
    </w:rPr>
  </w:style>
  <w:style w:type="character" w:customStyle="1" w:styleId="VrazncittChar">
    <w:name w:val="Výrazný citát Char"/>
    <w:link w:val="Vrazncitt"/>
    <w:uiPriority w:val="30"/>
    <w:qFormat/>
    <w:rPr>
      <w:i/>
    </w:rPr>
  </w:style>
  <w:style w:type="character" w:customStyle="1" w:styleId="ZhlavChar">
    <w:name w:val="Záhlaví Char"/>
    <w:link w:val="Zhlav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ZpatChar">
    <w:name w:val="Zápatí Char"/>
    <w:link w:val="Zpat"/>
    <w:uiPriority w:val="99"/>
    <w:qFormat/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character" w:customStyle="1" w:styleId="TextpoznpodarouChar">
    <w:name w:val="Text pozn. pod čarou Char"/>
    <w:link w:val="Textpoznpodarou"/>
    <w:uiPriority w:val="99"/>
    <w:qFormat/>
    <w:rPr>
      <w:sz w:val="18"/>
    </w:rPr>
  </w:style>
  <w:style w:type="character" w:customStyle="1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customStyle="1" w:styleId="TextvysvtlivekChar">
    <w:name w:val="Text vysvětlivek Char"/>
    <w:link w:val="Textvysvtlivek"/>
    <w:uiPriority w:val="99"/>
    <w:qFormat/>
    <w:rPr>
      <w:sz w:val="20"/>
    </w:rPr>
  </w:style>
  <w:style w:type="character" w:customStyle="1" w:styleId="Znakyprovysvtlivky">
    <w:name w:val="Znaky pro vysvětlivky"/>
    <w:uiPriority w:val="99"/>
    <w:semiHidden/>
    <w:unhideWhenUsed/>
    <w:qFormat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31300"/>
    <w:rPr>
      <w:rFonts w:ascii="Segoe UI" w:hAnsi="Segoe UI" w:cs="Segoe UI"/>
      <w:sz w:val="18"/>
      <w:szCs w:val="18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Noto Sans Devanagari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1">
    <w:name w:val="caption1"/>
    <w:basedOn w:val="Normln"/>
    <w:next w:val="Normln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Hlavikarejstku">
    <w:name w:val="index heading"/>
    <w:basedOn w:val="Nadpis"/>
  </w:style>
  <w:style w:type="paragraph" w:styleId="Nadpisobsahu">
    <w:name w:val="TOC Heading"/>
    <w:uiPriority w:val="39"/>
    <w:unhideWhenUsed/>
    <w:qFormat/>
    <w:pPr>
      <w:spacing w:after="200" w:line="276" w:lineRule="auto"/>
    </w:pPr>
  </w:style>
  <w:style w:type="paragraph" w:styleId="Seznamobrzk">
    <w:name w:val="table of figures"/>
    <w:basedOn w:val="Normln"/>
    <w:next w:val="Normln"/>
    <w:uiPriority w:val="99"/>
    <w:unhideWhenUsed/>
    <w:qFormat/>
    <w:pPr>
      <w:spacing w:after="0"/>
    </w:pPr>
  </w:style>
  <w:style w:type="paragraph" w:styleId="Bezmezer">
    <w:name w:val="No Spacing"/>
    <w:basedOn w:val="Normln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3130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sz w:val="22"/>
      </w:rPr>
      <w:tblPr/>
      <w:tcPr>
        <w:shd w:val="clear" w:color="5B9BD5" w:fill="5B9BD5" w:themeFill="accent1"/>
      </w:tcPr>
    </w:tblStylePr>
    <w:tblStylePr w:type="lastCol">
      <w:rPr>
        <w:b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472C4" w:fill="4472C4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sz w:val="22"/>
      </w:rPr>
      <w:tblPr/>
      <w:tcPr>
        <w:shd w:val="clear" w:color="4472C4" w:fill="4472C4" w:themeFill="accent5"/>
      </w:tcPr>
    </w:tblStylePr>
    <w:tblStylePr w:type="lastCol">
      <w:rPr>
        <w:b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shd w:val="clear" w:color="4472C4" w:fill="4472C4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4472C4" w:fill="4472C4" w:themeFill="accent5"/>
      </w:tcPr>
    </w:tblStylePr>
    <w:tblStylePr w:type="lastRow">
      <w:rPr>
        <w:sz w:val="22"/>
      </w:rPr>
      <w:tblPr/>
      <w:tcPr>
        <w:shd w:val="clear" w:color="4472C4" w:fill="4472C4" w:themeFill="accent5"/>
      </w:tcPr>
    </w:tblStylePr>
    <w:tblStylePr w:type="firstCol">
      <w:rPr>
        <w:sz w:val="22"/>
      </w:rPr>
      <w:tblPr/>
      <w:tcPr>
        <w:shd w:val="clear" w:color="4472C4" w:fill="4472C4" w:themeFill="accent5"/>
      </w:tcPr>
    </w:tblStylePr>
    <w:tblStylePr w:type="lastCol">
      <w:rPr>
        <w:sz w:val="22"/>
      </w:rPr>
      <w:tblPr/>
      <w:tcPr>
        <w:shd w:val="clear" w:color="4472C4" w:fill="4472C4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sz w:val="22"/>
      </w:rPr>
      <w:tblPr/>
      <w:tcPr>
        <w:shd w:val="clear" w:color="4472C4" w:fill="4472C4" w:themeFill="accent5"/>
      </w:tcPr>
    </w:tblStylePr>
    <w:tblStylePr w:type="lastRow">
      <w:rPr>
        <w:sz w:val="22"/>
      </w:rPr>
      <w:tblPr/>
      <w:tcPr>
        <w:shd w:val="clear" w:color="4472C4" w:fill="4472C4" w:themeFill="accent5"/>
      </w:tcPr>
    </w:tblStylePr>
    <w:tblStylePr w:type="firstCol">
      <w:rPr>
        <w:sz w:val="22"/>
      </w:rPr>
      <w:tblPr/>
      <w:tcPr>
        <w:shd w:val="clear" w:color="4472C4" w:fill="4472C4" w:themeFill="accent5"/>
      </w:tcPr>
    </w:tblStylePr>
    <w:tblStylePr w:type="lastCol">
      <w:rPr>
        <w:sz w:val="22"/>
      </w:rPr>
      <w:tblPr/>
      <w:tcPr>
        <w:shd w:val="clear" w:color="4472C4" w:fill="4472C4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paragraph" w:customStyle="1" w:styleId="western">
    <w:name w:val="western"/>
    <w:basedOn w:val="Normln"/>
    <w:rsid w:val="006941F3"/>
    <w:pPr>
      <w:suppressAutoHyphens w:val="0"/>
      <w:spacing w:before="100" w:beforeAutospacing="1" w:after="142"/>
    </w:pPr>
    <w:rPr>
      <w:rFonts w:ascii="Arial" w:eastAsia="Times New Roman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ak.pirati.cz/f/37597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561</Words>
  <Characters>3312</Characters>
  <Application>Microsoft Office Word</Application>
  <DocSecurity>0</DocSecurity>
  <Lines>27</Lines>
  <Paragraphs>7</Paragraphs>
  <ScaleCrop>false</ScaleCrop>
  <Company>Krajský úřad Kraje Vysočina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Hajnová Hana Mgr.</cp:lastModifiedBy>
  <cp:revision>91</cp:revision>
  <dcterms:created xsi:type="dcterms:W3CDTF">2023-10-13T19:55:00Z</dcterms:created>
  <dcterms:modified xsi:type="dcterms:W3CDTF">2023-10-15T19:47:00Z</dcterms:modified>
  <dc:language>cs-CZ</dc:language>
</cp:coreProperties>
</file>