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Republikové předsednictvo: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1) </w:t>
      </w:r>
      <w:r w:rsidDel="00000000" w:rsidR="00000000" w:rsidRPr="00000000">
        <w:rPr>
          <w:b w:val="1"/>
          <w:rtl w:val="0"/>
        </w:rPr>
        <w:t xml:space="preserve">Konstatuje</w:t>
      </w:r>
      <w:r w:rsidDel="00000000" w:rsidR="00000000" w:rsidRPr="00000000">
        <w:rPr>
          <w:rtl w:val="0"/>
        </w:rPr>
        <w:t xml:space="preserve"> skutečnost, že členové republikového předsednictva jakožto statutárního a výkonného orgánu České pirátské strany, který má všeobecnou odpovědnost za stranu a za politické záležitosti a mimo jiné ukládá i konkrétní úkoly odborům v rámci jejich působností, vykonávají tímto vrcholovou řídící činnost dle rozdělených gescí a tím naplňují vizi a strategické směřování strany, je nanejvýše žádoucí, aby měli dostatečné podmínky k výkonu funkce.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2) a proto </w:t>
      </w:r>
      <w:r w:rsidDel="00000000" w:rsidR="00000000" w:rsidRPr="00000000">
        <w:rPr>
          <w:b w:val="1"/>
          <w:rtl w:val="0"/>
        </w:rPr>
        <w:t xml:space="preserve">stanovuje</w:t>
      </w:r>
      <w:r w:rsidDel="00000000" w:rsidR="00000000" w:rsidRPr="00000000">
        <w:rPr>
          <w:rtl w:val="0"/>
        </w:rPr>
        <w:t xml:space="preserve">, přiměřeně dle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§ 5 (2) OŘ</w:t>
        </w:r>
      </w:hyperlink>
      <w:r w:rsidDel="00000000" w:rsidR="00000000" w:rsidRPr="00000000">
        <w:rPr>
          <w:rtl w:val="0"/>
        </w:rPr>
        <w:t xml:space="preserve">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§ 3 PraH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následující pravidla pro uvolnění k výkonu funkce člena republikového předsednictva: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Pravidla pro uvolnění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Nelze uvolnit člena, který je již uvolněn k výkonu jiné politické funkce.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Smlouvu o výkonu funkce </w:t>
      </w:r>
      <w:r w:rsidDel="00000000" w:rsidR="00000000" w:rsidRPr="00000000">
        <w:rPr>
          <w:rtl w:val="0"/>
        </w:rPr>
        <w:t xml:space="preserve">zpracuje kancelář strany na základě usnesení republikového předsednictva </w:t>
      </w:r>
      <w:r w:rsidDel="00000000" w:rsidR="00000000" w:rsidRPr="00000000">
        <w:rPr>
          <w:i w:val="1"/>
          <w:rtl w:val="0"/>
        </w:rPr>
        <w:t xml:space="preserve">o uvolnění</w:t>
      </w:r>
      <w:r w:rsidDel="00000000" w:rsidR="00000000" w:rsidRPr="00000000">
        <w:rPr>
          <w:rtl w:val="0"/>
        </w:rPr>
        <w:t xml:space="preserve"> a v souladu se schváleným rozpočtem, resp. výší schváleného záměru.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Rozhodnutí o výši celkového záměru na uvolnění, výši uvolnění vzhledem k funkci v předsednictvu, struktuře a frekvenci výplaty uvolnění se řídí ustanoveními pro hospodaření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dle platných předpisů strany.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 hlasování předsednictva </w:t>
      </w:r>
      <w:r w:rsidDel="00000000" w:rsidR="00000000" w:rsidRPr="00000000">
        <w:rPr>
          <w:i w:val="1"/>
          <w:rtl w:val="0"/>
        </w:rPr>
        <w:t xml:space="preserve">o uvolnění</w:t>
      </w:r>
      <w:r w:rsidDel="00000000" w:rsidR="00000000" w:rsidRPr="00000000">
        <w:rPr>
          <w:rtl w:val="0"/>
        </w:rPr>
        <w:t xml:space="preserve"> je vyloučen vždy ten člen předsednictva, o jehož uvolnění se hlasuje, zároveň je však oprávněn se předem svého uvolnění zcela vzdát, přičemž pak se o jeho uvolnění nehlasuje.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 hlasování rozhoduje nadpoloviční většina přítomných a k hlasování oprávněných členů (viz 4), avšak v počtu vyšším než polovina všech členů předsednictva.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Kterýkoliv z členů předsednictva může před koncem měsíce uvolnění svolat jednání k přezkumu a hlasování o změnách v uvolnění kteréhokoliv člena předsednictva; Tuto skutečnost musí svolávající rovněž před koncem měsíce prokazatelně oznámit i kanceláři strany. Zpracování uvolnění kanceláří za daný měsíc a dále se pak odkládá do okamžiku rozhodnutí předsednictva.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Kontrolní funkci a přezkum uvolnění vykonává stejný orgán, který je oprávněn k přezkumu hospodaření republikového předsednictva.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Republikové předsednictvo, přiměřeně dle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§ 15 (1) d) RoPr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PraH, zejména § 10 a 11</w:t>
        </w:r>
      </w:hyperlink>
      <w:r w:rsidDel="00000000" w:rsidR="00000000" w:rsidRPr="00000000">
        <w:rPr>
          <w:rtl w:val="0"/>
        </w:rPr>
        <w:t xml:space="preserve"> a Pravidel pro uvolnění, schvaluje záměr “Uvolnění členů předsednictva”, pro zbytek roku 2022 ve výši 100 tis. Kč a přesouvá na něj prostředky ze své rezervy do položky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Provozní výdaje republikového předsednictva</w:t>
        </w:r>
      </w:hyperlink>
      <w:r w:rsidDel="00000000" w:rsidR="00000000" w:rsidRPr="00000000">
        <w:rPr>
          <w:color w:val="212529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zejména https://wiki.pirati.cz/rules/prah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piroplaceni.pirati.cz/rozpocet/polozka/2207/" TargetMode="External"/><Relationship Id="rId10" Type="http://schemas.openxmlformats.org/officeDocument/2006/relationships/hyperlink" Target="https://wiki.pirati.cz/rules/prah#schvalovani_zameru" TargetMode="External"/><Relationship Id="rId9" Type="http://schemas.openxmlformats.org/officeDocument/2006/relationships/hyperlink" Target="https://wiki.pirati.cz/rules/ropr#zmena_rozpoctu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iki.pirati.cz/rules/or#postupy_a_pravidla" TargetMode="External"/><Relationship Id="rId8" Type="http://schemas.openxmlformats.org/officeDocument/2006/relationships/hyperlink" Target="https://wiki.pirati.cz/rules/prah#placene_uko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