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4"/>
        <w:jc w:val="center"/>
        <w:spacing w:lineRule="auto" w:line="276" w:after="240"/>
        <w:rPr>
          <w:sz w:val="40"/>
          <w:szCs w:val="40"/>
          <w:u w:val="single"/>
        </w:rPr>
      </w:pPr>
      <w:r/>
      <w:bookmarkStart w:id="0" w:name="_GoBack"/>
      <w:r/>
      <w:bookmarkEnd w:id="0"/>
      <w:r>
        <w:rPr>
          <w:sz w:val="40"/>
          <w:szCs w:val="40"/>
          <w:u w:val="single"/>
        </w:rPr>
        <w:t xml:space="preserve">Materiál prioritizace </w:t>
      </w:r>
      <w:r>
        <w:rPr>
          <w:sz w:val="40"/>
          <w:szCs w:val="40"/>
          <w:u w:val="single"/>
        </w:rPr>
        <w:t xml:space="preserve">dopravních staveb</w:t>
      </w:r>
      <w:r>
        <w:rPr>
          <w:sz w:val="40"/>
          <w:szCs w:val="40"/>
          <w:u w:val="single"/>
        </w:rPr>
        <w:t xml:space="preserve"> 12. 10</w:t>
      </w:r>
      <w:r>
        <w:rPr>
          <w:sz w:val="40"/>
          <w:szCs w:val="40"/>
          <w:u w:val="single"/>
        </w:rPr>
        <w:t xml:space="preserve">.</w:t>
      </w:r>
      <w:r>
        <w:rPr>
          <w:sz w:val="40"/>
          <w:szCs w:val="40"/>
          <w:u w:val="single"/>
        </w:rPr>
        <w:t xml:space="preserve"> </w:t>
      </w:r>
      <w:r>
        <w:rPr>
          <w:sz w:val="40"/>
          <w:szCs w:val="40"/>
          <w:u w:val="single"/>
        </w:rPr>
        <w:t xml:space="preserve">2021</w:t>
      </w:r>
      <w:r/>
    </w:p>
    <w:p>
      <w:pPr>
        <w:jc w:val="both"/>
        <w:spacing w:lineRule="auto" w:line="276"/>
        <w:rPr>
          <w:color w:val="002060"/>
          <w:sz w:val="24"/>
          <w:szCs w:val="24"/>
        </w:rPr>
      </w:pPr>
      <w:r>
        <w:rPr>
          <w:color w:val="002060"/>
          <w:sz w:val="24"/>
          <w:szCs w:val="24"/>
        </w:rPr>
        <w:t xml:space="preserve">Cílem</w:t>
      </w:r>
      <w:r>
        <w:rPr>
          <w:color w:val="002060"/>
          <w:sz w:val="24"/>
          <w:szCs w:val="24"/>
        </w:rPr>
        <w:t xml:space="preserve"> </w:t>
      </w:r>
      <w:r>
        <w:rPr>
          <w:i/>
          <w:color w:val="002060"/>
          <w:sz w:val="24"/>
          <w:szCs w:val="24"/>
        </w:rPr>
        <w:t xml:space="preserve">prioritizace dopravních staveb</w:t>
      </w:r>
      <w:r>
        <w:rPr>
          <w:color w:val="002060"/>
          <w:sz w:val="24"/>
          <w:szCs w:val="24"/>
        </w:rPr>
        <w:t xml:space="preserve">, </w:t>
      </w:r>
      <w:r>
        <w:rPr>
          <w:color w:val="002060"/>
          <w:sz w:val="24"/>
          <w:szCs w:val="24"/>
        </w:rPr>
        <w:t xml:space="preserve">bylo</w:t>
      </w:r>
      <w:r>
        <w:rPr>
          <w:color w:val="002060"/>
          <w:sz w:val="24"/>
          <w:szCs w:val="24"/>
        </w:rPr>
        <w:t xml:space="preserve"> vytvořit fu</w:t>
      </w:r>
      <w:r>
        <w:rPr>
          <w:color w:val="002060"/>
          <w:sz w:val="24"/>
          <w:szCs w:val="24"/>
        </w:rPr>
        <w:t xml:space="preserve">nkční strukturované seznamy akcí, jenž budou seřazeny dle výsledného součtu bodového hodnocení jednotlivých kritérií</w:t>
      </w:r>
      <w:r>
        <w:rPr>
          <w:color w:val="002060"/>
          <w:sz w:val="24"/>
          <w:szCs w:val="24"/>
        </w:rPr>
        <w:t xml:space="preserve">. Takto sestavené pořadí staveb a záměrů</w:t>
      </w:r>
      <w:r>
        <w:rPr>
          <w:color w:val="002060"/>
          <w:sz w:val="24"/>
          <w:szCs w:val="24"/>
        </w:rPr>
        <w:t xml:space="preserve">, slouží</w:t>
      </w:r>
      <w:r>
        <w:rPr>
          <w:color w:val="002060"/>
          <w:sz w:val="24"/>
          <w:szCs w:val="24"/>
        </w:rPr>
        <w:t xml:space="preserve"> jako podklad při </w:t>
      </w:r>
      <w:r>
        <w:rPr>
          <w:color w:val="002060"/>
          <w:sz w:val="24"/>
          <w:szCs w:val="24"/>
        </w:rPr>
        <w:t xml:space="preserve">rozhodování o </w:t>
      </w:r>
      <w:r>
        <w:rPr>
          <w:color w:val="002060"/>
          <w:sz w:val="24"/>
          <w:szCs w:val="24"/>
        </w:rPr>
        <w:t xml:space="preserve">alokování dostupných </w:t>
      </w:r>
      <w:r>
        <w:rPr>
          <w:color w:val="002060"/>
          <w:sz w:val="24"/>
          <w:szCs w:val="24"/>
        </w:rPr>
        <w:t xml:space="preserve">finančních</w:t>
      </w:r>
      <w:r>
        <w:rPr>
          <w:color w:val="002060"/>
          <w:sz w:val="24"/>
          <w:szCs w:val="24"/>
        </w:rPr>
        <w:t xml:space="preserve"> prostředků v daném období</w:t>
      </w:r>
      <w:r>
        <w:rPr>
          <w:color w:val="002060"/>
          <w:sz w:val="24"/>
          <w:szCs w:val="24"/>
        </w:rPr>
        <w:t xml:space="preserve">.</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Výchozím podkladem, pro návrh systému prioritizace dopravních staveb, byl metodický postup pro </w:t>
      </w:r>
      <w:r>
        <w:rPr>
          <w:i/>
          <w:color w:val="002060"/>
          <w:sz w:val="24"/>
          <w:szCs w:val="24"/>
        </w:rPr>
        <w:t xml:space="preserve">multikriteriální hodnocení</w:t>
      </w:r>
      <w:r>
        <w:rPr>
          <w:color w:val="002060"/>
          <w:sz w:val="24"/>
          <w:szCs w:val="24"/>
        </w:rPr>
        <w:t xml:space="preserve"> akcí, financovaných ze </w:t>
      </w:r>
      <w:r>
        <w:rPr>
          <w:i/>
          <w:color w:val="002060"/>
          <w:sz w:val="24"/>
          <w:szCs w:val="24"/>
        </w:rPr>
        <w:t xml:space="preserve">Státního fondu dopravní infrastruktury, </w:t>
      </w:r>
      <w:r>
        <w:rPr>
          <w:color w:val="002060"/>
          <w:sz w:val="24"/>
          <w:szCs w:val="24"/>
        </w:rPr>
        <w:t xml:space="preserve">který KSÚS běžně používá již několik let. Nově navržený systém, sloužící pro potřeby Středočeského kraje, byl oproštěn o některá kritéria a každé kritérium opatřeno koeficientem. Následně byly tyto vstupy nadefinovány do tabulky.</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Tabulka </w:t>
      </w:r>
      <w:r>
        <w:rPr>
          <w:i/>
          <w:color w:val="002060"/>
          <w:sz w:val="24"/>
          <w:szCs w:val="24"/>
        </w:rPr>
        <w:t xml:space="preserve">Prioritizace</w:t>
      </w:r>
      <w:r>
        <w:rPr>
          <w:color w:val="002060"/>
          <w:sz w:val="24"/>
          <w:szCs w:val="24"/>
        </w:rPr>
        <w:t xml:space="preserve"> </w:t>
      </w:r>
      <w:r>
        <w:rPr>
          <w:color w:val="002060"/>
          <w:sz w:val="24"/>
          <w:szCs w:val="24"/>
        </w:rPr>
        <w:t xml:space="preserve">je rozdělena na dva listy. První list obsahuje dopravní stavby ve fázi </w:t>
      </w:r>
      <w:r>
        <w:rPr>
          <w:i/>
          <w:color w:val="002060"/>
          <w:sz w:val="24"/>
          <w:szCs w:val="24"/>
        </w:rPr>
        <w:t xml:space="preserve">v přípravě a připraveno</w:t>
      </w:r>
      <w:r>
        <w:rPr>
          <w:color w:val="002060"/>
          <w:sz w:val="24"/>
          <w:szCs w:val="24"/>
        </w:rPr>
        <w:t xml:space="preserve"> tj. akce, s probíhající či hotovou proj</w:t>
      </w:r>
      <w:r>
        <w:rPr>
          <w:color w:val="002060"/>
          <w:sz w:val="24"/>
          <w:szCs w:val="24"/>
        </w:rPr>
        <w:t xml:space="preserve">ekční přípravou, jenž </w:t>
      </w:r>
      <w:r>
        <w:rPr>
          <w:color w:val="002060"/>
          <w:sz w:val="24"/>
          <w:szCs w:val="24"/>
        </w:rPr>
        <w:t xml:space="preserve">nejsou předány do realizace. Druhý list obsahuje </w:t>
      </w:r>
      <w:r>
        <w:rPr>
          <w:i/>
          <w:color w:val="002060"/>
          <w:sz w:val="24"/>
          <w:szCs w:val="24"/>
        </w:rPr>
        <w:t xml:space="preserve">záměry</w:t>
      </w:r>
      <w:r>
        <w:rPr>
          <w:color w:val="002060"/>
          <w:sz w:val="24"/>
          <w:szCs w:val="24"/>
        </w:rPr>
        <w:t xml:space="preserve">, které nejsou zasmluvněny a projekční příprava u nich neběží, ale jsou k dispozici </w:t>
      </w:r>
      <w:r>
        <w:rPr>
          <w:color w:val="002060"/>
          <w:sz w:val="24"/>
          <w:szCs w:val="24"/>
        </w:rPr>
        <w:t xml:space="preserve">důvody, </w:t>
      </w:r>
      <w:r>
        <w:rPr>
          <w:color w:val="002060"/>
          <w:sz w:val="24"/>
          <w:szCs w:val="24"/>
        </w:rPr>
        <w:t xml:space="preserve">data a dokumenty, k přípravě zadání do projekční přípravy. </w:t>
      </w:r>
      <w:r>
        <w:rPr>
          <w:color w:val="002060"/>
          <w:sz w:val="24"/>
          <w:szCs w:val="24"/>
        </w:rPr>
        <w:t xml:space="preserve">Pokud k zasmluvnění dojde, přesune se akce do listu </w:t>
      </w:r>
      <w:r>
        <w:rPr>
          <w:i/>
          <w:color w:val="002060"/>
          <w:sz w:val="24"/>
          <w:szCs w:val="24"/>
        </w:rPr>
        <w:t xml:space="preserve">v přípravě a připraveno</w:t>
      </w:r>
      <w:r>
        <w:rPr>
          <w:color w:val="002060"/>
          <w:sz w:val="24"/>
          <w:szCs w:val="24"/>
        </w:rPr>
        <w:t xml:space="preserve">.</w:t>
      </w:r>
      <w:r>
        <w:rPr>
          <w:color w:val="002060"/>
          <w:sz w:val="24"/>
          <w:szCs w:val="24"/>
        </w:rPr>
        <w:t xml:space="preserve"> Akce, na které dojde k přidělení finančních prostředků na realizaci a mají </w:t>
      </w:r>
      <w:r>
        <w:rPr>
          <w:color w:val="002060"/>
          <w:sz w:val="24"/>
          <w:szCs w:val="24"/>
        </w:rPr>
        <w:t xml:space="preserve">vytendrováno</w:t>
      </w:r>
      <w:r>
        <w:rPr>
          <w:color w:val="002060"/>
          <w:sz w:val="24"/>
          <w:szCs w:val="24"/>
        </w:rPr>
        <w:t xml:space="preserve"> a budou předány, jsou označeny zeleně a v tabulce se skryjí. Akce, kde je projekční příprava ukončena v rozpracovanosti, jsou mazány.</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Jelikož není možné, porovnávat mezi sebou všechny dopravní stavby, kvůli jejich odlišnému předmětu plnění, jsou akce rozděleny do čtyř základních kategorií dle druhu dopravních staveb:</w:t>
      </w:r>
      <w:r/>
    </w:p>
    <w:p>
      <w:pPr>
        <w:pStyle w:val="620"/>
        <w:numPr>
          <w:ilvl w:val="0"/>
          <w:numId w:val="1"/>
        </w:numPr>
        <w:jc w:val="both"/>
        <w:spacing w:lineRule="auto" w:line="276"/>
        <w:rPr>
          <w:bCs/>
          <w:color w:val="002060"/>
          <w:sz w:val="24"/>
          <w:szCs w:val="24"/>
        </w:rPr>
      </w:pPr>
      <w:r>
        <w:rPr>
          <w:bCs/>
          <w:color w:val="002060"/>
          <w:sz w:val="24"/>
          <w:szCs w:val="24"/>
        </w:rPr>
        <w:t xml:space="preserve">opravy a rekonstrukce silnic</w:t>
      </w:r>
      <w:r/>
    </w:p>
    <w:p>
      <w:pPr>
        <w:pStyle w:val="620"/>
        <w:numPr>
          <w:ilvl w:val="1"/>
          <w:numId w:val="1"/>
        </w:numPr>
        <w:jc w:val="both"/>
        <w:spacing w:lineRule="auto" w:line="276"/>
        <w:rPr>
          <w:bCs/>
          <w:color w:val="002060"/>
          <w:sz w:val="24"/>
          <w:szCs w:val="24"/>
        </w:rPr>
      </w:pPr>
      <w:r>
        <w:rPr>
          <w:bCs/>
          <w:color w:val="002060"/>
          <w:sz w:val="24"/>
          <w:szCs w:val="24"/>
        </w:rPr>
        <w:t xml:space="preserve">souvislá údržba,</w:t>
      </w:r>
      <w:r/>
    </w:p>
    <w:p>
      <w:pPr>
        <w:pStyle w:val="620"/>
        <w:numPr>
          <w:ilvl w:val="1"/>
          <w:numId w:val="1"/>
        </w:numPr>
        <w:jc w:val="both"/>
        <w:spacing w:lineRule="auto" w:line="276"/>
        <w:rPr>
          <w:bCs/>
          <w:color w:val="002060"/>
          <w:sz w:val="24"/>
          <w:szCs w:val="24"/>
        </w:rPr>
      </w:pPr>
      <w:r>
        <w:rPr>
          <w:bCs/>
          <w:color w:val="002060"/>
          <w:sz w:val="24"/>
          <w:szCs w:val="24"/>
        </w:rPr>
        <w:t xml:space="preserve">rekonstrukce</w:t>
      </w:r>
      <w:r>
        <w:rPr>
          <w:bCs/>
          <w:color w:val="002060"/>
          <w:sz w:val="24"/>
          <w:szCs w:val="24"/>
        </w:rPr>
        <w:t xml:space="preserve">.</w:t>
      </w:r>
      <w:r/>
    </w:p>
    <w:p>
      <w:pPr>
        <w:pStyle w:val="620"/>
        <w:numPr>
          <w:ilvl w:val="0"/>
          <w:numId w:val="1"/>
        </w:numPr>
        <w:jc w:val="both"/>
        <w:spacing w:lineRule="auto" w:line="276"/>
        <w:rPr>
          <w:bCs/>
          <w:color w:val="002060"/>
          <w:sz w:val="24"/>
          <w:szCs w:val="24"/>
        </w:rPr>
      </w:pPr>
      <w:r>
        <w:rPr>
          <w:bCs/>
          <w:color w:val="002060"/>
          <w:sz w:val="24"/>
          <w:szCs w:val="24"/>
        </w:rPr>
        <w:t xml:space="preserve">mostní objekty a propustky</w:t>
      </w:r>
      <w:r/>
    </w:p>
    <w:p>
      <w:pPr>
        <w:pStyle w:val="620"/>
        <w:numPr>
          <w:ilvl w:val="1"/>
          <w:numId w:val="1"/>
        </w:numPr>
        <w:jc w:val="both"/>
        <w:spacing w:lineRule="auto" w:line="276"/>
        <w:rPr>
          <w:bCs/>
          <w:color w:val="002060"/>
          <w:sz w:val="24"/>
          <w:szCs w:val="24"/>
        </w:rPr>
      </w:pPr>
      <w:r>
        <w:rPr>
          <w:bCs/>
          <w:color w:val="002060"/>
          <w:sz w:val="24"/>
          <w:szCs w:val="24"/>
        </w:rPr>
        <w:t xml:space="preserve">most,</w:t>
      </w:r>
      <w:r/>
    </w:p>
    <w:p>
      <w:pPr>
        <w:pStyle w:val="620"/>
        <w:numPr>
          <w:ilvl w:val="1"/>
          <w:numId w:val="1"/>
        </w:numPr>
        <w:jc w:val="both"/>
        <w:spacing w:lineRule="auto" w:line="276"/>
        <w:rPr>
          <w:bCs/>
          <w:color w:val="002060"/>
          <w:sz w:val="24"/>
          <w:szCs w:val="24"/>
        </w:rPr>
      </w:pPr>
      <w:r>
        <w:rPr>
          <w:bCs/>
          <w:color w:val="002060"/>
          <w:sz w:val="24"/>
          <w:szCs w:val="24"/>
        </w:rPr>
        <w:t xml:space="preserve">propustek</w:t>
      </w:r>
      <w:r>
        <w:rPr>
          <w:bCs/>
          <w:color w:val="002060"/>
          <w:sz w:val="24"/>
          <w:szCs w:val="24"/>
        </w:rPr>
        <w:t xml:space="preserve">.</w:t>
      </w:r>
      <w:r/>
    </w:p>
    <w:p>
      <w:pPr>
        <w:pStyle w:val="620"/>
        <w:numPr>
          <w:ilvl w:val="0"/>
          <w:numId w:val="1"/>
        </w:numPr>
        <w:jc w:val="both"/>
        <w:spacing w:lineRule="auto" w:line="276"/>
        <w:rPr>
          <w:bCs/>
          <w:color w:val="002060"/>
          <w:sz w:val="24"/>
          <w:szCs w:val="24"/>
        </w:rPr>
      </w:pPr>
      <w:r>
        <w:rPr>
          <w:bCs/>
          <w:color w:val="002060"/>
          <w:sz w:val="24"/>
          <w:szCs w:val="24"/>
        </w:rPr>
        <w:t xml:space="preserve">řešení bodové závady a/nebo bezpečnostního rizika (okružní či jiné křižovatky, rizikové zatáčky, opěrné zdi, skalní masivy, překážky, apod.)</w:t>
      </w:r>
      <w:r/>
    </w:p>
    <w:p>
      <w:pPr>
        <w:pStyle w:val="620"/>
        <w:numPr>
          <w:ilvl w:val="0"/>
          <w:numId w:val="1"/>
        </w:numPr>
        <w:jc w:val="both"/>
        <w:spacing w:lineRule="auto" w:line="276"/>
        <w:rPr>
          <w:bCs/>
          <w:color w:val="002060"/>
          <w:sz w:val="24"/>
          <w:szCs w:val="24"/>
        </w:rPr>
      </w:pPr>
      <w:r>
        <w:rPr>
          <w:bCs/>
          <w:color w:val="002060"/>
          <w:sz w:val="24"/>
          <w:szCs w:val="24"/>
        </w:rPr>
        <w:t xml:space="preserve">novostavby (obchvaty, přeložky, propojky)</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Homogenizace nejsou do prioritizace uvažovány, stejně tak lokální drobné opravy vozovky a údržba mostů. Celoplošné opravy jsou součástí prioritizace.</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Poslední sloupec každého listu obsahuje předpokládané či odhadované náklady jednotlivé akce. Následně </w:t>
      </w:r>
      <w:r>
        <w:rPr>
          <w:color w:val="002060"/>
          <w:sz w:val="24"/>
          <w:szCs w:val="24"/>
        </w:rPr>
        <w:t xml:space="preserve">je na konci prvního řádku uveden součet nákladů všech akcí v daném listu. V době zpracování materiálu je celková předpokládaná hodnota akcí v přípravě a připraveno přes 29 mld. Kč a záměrů v předpokládané hodnotě přes 3 mld. Kč.</w:t>
      </w:r>
      <w:r/>
    </w:p>
    <w:p>
      <w:pPr>
        <w:jc w:val="both"/>
        <w:spacing w:lineRule="auto" w:line="276"/>
        <w:rPr>
          <w:color w:val="002060"/>
          <w:sz w:val="24"/>
          <w:szCs w:val="24"/>
        </w:rPr>
      </w:pPr>
      <w:r>
        <w:rPr>
          <w:color w:val="002060"/>
          <w:sz w:val="24"/>
          <w:szCs w:val="24"/>
        </w:rPr>
        <w:t xml:space="preserve">Tabulka je neustále dostupná na společném serveru KSÚS, tj. mají k ní přístup všichni zaměstnanci KSÚS. Bude k ní mít přístup i vedoucí odboru dopravy a vedoucí oddělení pozemních komunikací </w:t>
      </w:r>
      <w:r>
        <w:rPr>
          <w:color w:val="002060"/>
          <w:sz w:val="24"/>
          <w:szCs w:val="24"/>
          <w:highlight w:val="yellow"/>
        </w:rPr>
        <w:t xml:space="preserve">(řeší se s informatiky)</w:t>
      </w:r>
      <w:r>
        <w:rPr>
          <w:color w:val="002060"/>
          <w:sz w:val="24"/>
          <w:szCs w:val="24"/>
        </w:rPr>
        <w:t xml:space="preserve"> </w:t>
      </w:r>
      <w:r>
        <w:rPr>
          <w:color w:val="002060"/>
          <w:sz w:val="24"/>
          <w:szCs w:val="24"/>
        </w:rPr>
        <w:t xml:space="preserve">tak, aby Odbor dopravy mohl v pravidelných intervalech generovat výstup z předmětné tabulky</w:t>
      </w:r>
      <w:r>
        <w:rPr>
          <w:color w:val="002060"/>
          <w:sz w:val="24"/>
          <w:szCs w:val="24"/>
        </w:rPr>
        <w:t xml:space="preserve">,</w:t>
      </w:r>
      <w:r>
        <w:rPr>
          <w:color w:val="002060"/>
          <w:sz w:val="24"/>
          <w:szCs w:val="24"/>
        </w:rPr>
        <w:t xml:space="preserve"> pro uveřejnění na </w:t>
      </w:r>
      <w:r>
        <w:rPr>
          <w:color w:val="002060"/>
          <w:sz w:val="24"/>
          <w:szCs w:val="24"/>
        </w:rPr>
        <w:t xml:space="preserve">webových </w:t>
      </w:r>
      <w:r>
        <w:rPr>
          <w:color w:val="002060"/>
          <w:sz w:val="24"/>
          <w:szCs w:val="24"/>
        </w:rPr>
        <w:t xml:space="preserve">stránkách Středočeského kraje.</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Permanentní přístupnost na serveru organizace je základem pro to, aby t</w:t>
      </w:r>
      <w:r>
        <w:rPr>
          <w:color w:val="002060"/>
          <w:sz w:val="24"/>
          <w:szCs w:val="24"/>
        </w:rPr>
        <w:t xml:space="preserve">abulka zůstala neustále živá, aktualizovaná a přehledná. Formátování tabulky je definované, v nezbytné míře uzamčené a soubor je zálohovaný. Výběr kritérií je z předem definovaných přípustných hodnot. Největším rizikem je tedy lidský faktor. Za aktuálnost </w:t>
      </w:r>
      <w:r>
        <w:rPr>
          <w:color w:val="002060"/>
          <w:sz w:val="24"/>
          <w:szCs w:val="24"/>
        </w:rPr>
        <w:t xml:space="preserve">a pravdivost </w:t>
      </w:r>
      <w:r>
        <w:rPr>
          <w:color w:val="002060"/>
          <w:sz w:val="24"/>
          <w:szCs w:val="24"/>
        </w:rPr>
        <w:t xml:space="preserve">bodování, nákladů a </w:t>
      </w:r>
      <w:r>
        <w:rPr>
          <w:color w:val="002060"/>
          <w:sz w:val="24"/>
          <w:szCs w:val="24"/>
        </w:rPr>
        <w:t xml:space="preserve">uvedení či vymazání</w:t>
      </w:r>
      <w:r>
        <w:rPr>
          <w:color w:val="002060"/>
          <w:sz w:val="24"/>
          <w:szCs w:val="24"/>
        </w:rPr>
        <w:t xml:space="preserve"> </w:t>
      </w:r>
      <w:r>
        <w:rPr>
          <w:color w:val="002060"/>
          <w:sz w:val="24"/>
          <w:szCs w:val="24"/>
        </w:rPr>
        <w:t xml:space="preserve">akce </w:t>
      </w:r>
      <w:r>
        <w:rPr>
          <w:color w:val="002060"/>
          <w:sz w:val="24"/>
          <w:szCs w:val="24"/>
        </w:rPr>
        <w:t xml:space="preserve">v daném listu tabulky</w:t>
      </w:r>
      <w:r>
        <w:rPr>
          <w:color w:val="002060"/>
          <w:sz w:val="24"/>
          <w:szCs w:val="24"/>
        </w:rPr>
        <w:t xml:space="preserve">,</w:t>
      </w:r>
      <w:r>
        <w:rPr>
          <w:color w:val="002060"/>
          <w:sz w:val="24"/>
          <w:szCs w:val="24"/>
        </w:rPr>
        <w:t xml:space="preserve"> je zodpovědný vždy konkrétní zaměstnanec KSÚS, který má danou akci na starosti.</w:t>
      </w:r>
      <w:r>
        <w:rPr>
          <w:color w:val="002060"/>
          <w:sz w:val="24"/>
          <w:szCs w:val="24"/>
        </w:rPr>
        <w:t xml:space="preserve"> Není a nemůže být stanovena konkrétní osob</w:t>
      </w:r>
      <w:r>
        <w:rPr>
          <w:color w:val="002060"/>
          <w:sz w:val="24"/>
          <w:szCs w:val="24"/>
        </w:rPr>
        <w:t xml:space="preserve">a, která by byla schopna ručit za správnost všech uvedených informací, neboť rozsah přípravy Středočeského kraje je tak obsáhlý a neustále se vyvíjí, že nelze tuto činnost zaručit jedním člověkem a zbavit tak odpovědnosti zaměstnance k dané akci příslušné.</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Primární hodnocení je ve sloupci </w:t>
      </w:r>
      <w:r>
        <w:rPr>
          <w:i/>
          <w:color w:val="002060"/>
          <w:sz w:val="24"/>
          <w:szCs w:val="24"/>
        </w:rPr>
        <w:t xml:space="preserve">Výsledné hodnocení</w:t>
      </w:r>
      <w:r>
        <w:rPr>
          <w:color w:val="002060"/>
          <w:sz w:val="24"/>
          <w:szCs w:val="24"/>
        </w:rPr>
        <w:t xml:space="preserve">, od toho se určuje pořadí akcí. Aby však bylo možné z teoretického hlediska </w:t>
      </w:r>
      <w:r>
        <w:rPr>
          <w:color w:val="002060"/>
          <w:sz w:val="24"/>
          <w:szCs w:val="24"/>
        </w:rPr>
        <w:t xml:space="preserve">druhy staveb</w:t>
      </w:r>
      <w:r>
        <w:rPr>
          <w:color w:val="002060"/>
          <w:sz w:val="24"/>
          <w:szCs w:val="24"/>
        </w:rPr>
        <w:t xml:space="preserve"> porovnávat mezi sebou, je ještě uveden sloupec </w:t>
      </w:r>
      <w:r>
        <w:rPr>
          <w:i/>
          <w:color w:val="002060"/>
          <w:sz w:val="24"/>
          <w:szCs w:val="24"/>
        </w:rPr>
        <w:t xml:space="preserve">Hodnocení s</w:t>
      </w:r>
      <w:r>
        <w:rPr>
          <w:i/>
          <w:color w:val="002060"/>
          <w:sz w:val="24"/>
          <w:szCs w:val="24"/>
        </w:rPr>
        <w:t xml:space="preserve"> </w:t>
      </w:r>
      <w:r>
        <w:rPr>
          <w:i/>
          <w:color w:val="002060"/>
          <w:sz w:val="24"/>
          <w:szCs w:val="24"/>
        </w:rPr>
        <w:t xml:space="preserve">korekcí</w:t>
      </w:r>
      <w:r>
        <w:rPr>
          <w:color w:val="002060"/>
          <w:sz w:val="24"/>
          <w:szCs w:val="24"/>
        </w:rPr>
        <w:t xml:space="preserve">. Ve výsledném hodnocení je u každé kategorie možno dosáhnout rozdílného počt</w:t>
      </w:r>
      <w:r>
        <w:rPr>
          <w:color w:val="002060"/>
          <w:sz w:val="24"/>
          <w:szCs w:val="24"/>
        </w:rPr>
        <w:t xml:space="preserve">u maximálních bodů, hodnocení z korekcí přepočítává maximální počet dosažitelných bodů u všech druhů staveb na 100, tak aby u každé kategorie byl stejný základ, a následně převádí body z výsledného hodnocení na tento mezi kategoriemi porovnatelný výsledek.</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Bodové hodnocení každého kritéria je nastaveno 0-10 přičemž je pevně dán bodový rozsah u jednotlivých kritérií.</w:t>
      </w:r>
      <w:r>
        <w:rPr>
          <w:color w:val="002060"/>
          <w:sz w:val="24"/>
          <w:szCs w:val="24"/>
        </w:rPr>
        <w:t xml:space="preserve"> Níže jsou znázorněny změny oproti původnímu materiálu, které vyšli z testování.</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Jednotlivá kritéria hodnocení jsou:</w:t>
      </w:r>
      <w:r/>
    </w:p>
    <w:p>
      <w:pPr>
        <w:pStyle w:val="620"/>
        <w:numPr>
          <w:ilvl w:val="0"/>
          <w:numId w:val="4"/>
        </w:numPr>
        <w:jc w:val="both"/>
        <w:spacing w:lineRule="auto" w:line="276"/>
        <w:rPr>
          <w:color w:val="002060"/>
          <w:sz w:val="24"/>
          <w:szCs w:val="24"/>
        </w:rPr>
      </w:pPr>
      <w:r>
        <w:rPr>
          <w:color w:val="002060"/>
          <w:sz w:val="24"/>
          <w:szCs w:val="24"/>
          <w:u w:val="single"/>
        </w:rPr>
        <w:t xml:space="preserve">dopravní zatížení</w:t>
      </w:r>
      <w:r>
        <w:rPr>
          <w:color w:val="002060"/>
          <w:sz w:val="24"/>
          <w:szCs w:val="24"/>
        </w:rPr>
        <w:t xml:space="preserve">:</w:t>
      </w:r>
      <w:r>
        <w:rPr>
          <w:rFonts w:cs="Times New Roman"/>
          <w:color w:val="002060"/>
        </w:rPr>
        <w:t xml:space="preserve"> </w:t>
      </w:r>
      <w:r>
        <w:rPr>
          <w:color w:val="002060"/>
          <w:sz w:val="24"/>
          <w:szCs w:val="24"/>
        </w:rPr>
        <w:t xml:space="preserve">hodnoty dopravního zatížení jsou přebírány z výsledků celostátního sčítání dopravy, jako hodnota RPDI (roční průměr denních intenzit) za všechna vozidla, tedy jde o položku součet vozide</w:t>
      </w:r>
      <w:r>
        <w:rPr>
          <w:color w:val="002060"/>
          <w:sz w:val="24"/>
          <w:szCs w:val="24"/>
        </w:rPr>
        <w:t xml:space="preserve">l. Pokud plánovaná akce zasahuje na více sčítacích úseků, bere se největší hodnota. Pokud je akce naplánovaná na komunikaci, kde sčítání neprobíhalo, provede se kvalifikovaný odhad intenzity dopravy či na základě již provedeného měření, pokud je dostupné. </w:t>
      </w:r>
      <w:r/>
    </w:p>
    <w:p>
      <w:pPr>
        <w:pStyle w:val="620"/>
        <w:jc w:val="both"/>
        <w:spacing w:lineRule="auto" w:line="276"/>
        <w:rPr>
          <w:color w:val="002060"/>
          <w:sz w:val="24"/>
          <w:szCs w:val="24"/>
        </w:rPr>
      </w:pPr>
      <w:r>
        <w:rPr>
          <w:color w:val="002060"/>
          <w:sz w:val="24"/>
          <w:szCs w:val="24"/>
        </w:rPr>
      </w:r>
      <w:r/>
    </w:p>
    <w:tbl>
      <w:tblPr>
        <w:tblStyle w:val="627"/>
        <w:tblW w:w="0" w:type="auto"/>
        <w:tblInd w:w="562" w:type="dxa"/>
        <w:tblLook w:val="04A0" w:firstRow="1" w:lastRow="0" w:firstColumn="1" w:lastColumn="0" w:noHBand="0" w:noVBand="1"/>
      </w:tblPr>
      <w:tblGrid>
        <w:gridCol w:w="1104"/>
        <w:gridCol w:w="3369"/>
        <w:gridCol w:w="1352"/>
        <w:gridCol w:w="2675"/>
      </w:tblGrid>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w:t>
            </w:r>
            <w:r>
              <w:rPr>
                <w:color w:val="002060"/>
                <w:sz w:val="24"/>
                <w:szCs w:val="24"/>
              </w:rPr>
              <w:t xml:space="preserve">ritérium</w:t>
            </w:r>
            <w:r/>
          </w:p>
        </w:tc>
      </w:tr>
      <w:tr>
        <w:trPr/>
        <w:tc>
          <w:tcPr>
            <w:tcW w:w="564"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4052"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Nehodnoceno</w:t>
            </w:r>
            <w:r/>
          </w:p>
        </w:tc>
        <w:tc>
          <w:tcPr>
            <w:tcW w:w="667"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3217"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&lt;500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&lt;1000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&lt;3000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&lt;5000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&lt;7000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&lt;9000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&lt;12000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&lt;15000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9</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&lt;18000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9</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r>
        <w:trPr/>
        <w:tc>
          <w:tcPr>
            <w:tcW w:w="56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4052"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&gt;18000</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321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zatížení</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s</w:t>
      </w:r>
      <w:r>
        <w:rPr>
          <w:color w:val="002060"/>
          <w:sz w:val="24"/>
          <w:szCs w:val="24"/>
          <w:u w:val="single"/>
        </w:rPr>
        <w:t xml:space="preserve">polufinancování</w:t>
      </w:r>
      <w:r>
        <w:rPr>
          <w:color w:val="002060"/>
          <w:sz w:val="24"/>
          <w:szCs w:val="24"/>
        </w:rPr>
        <w:t xml:space="preserve">: je určeno </w:t>
      </w:r>
      <w:r>
        <w:rPr>
          <w:strike/>
          <w:color w:val="002060"/>
          <w:sz w:val="24"/>
          <w:szCs w:val="24"/>
        </w:rPr>
        <w:t xml:space="preserve">mírou</w:t>
      </w:r>
      <w:r>
        <w:rPr>
          <w:color w:val="002060"/>
          <w:sz w:val="24"/>
          <w:szCs w:val="24"/>
        </w:rPr>
        <w:t xml:space="preserve"> vstupem</w:t>
      </w:r>
      <w:r>
        <w:rPr>
          <w:color w:val="002060"/>
          <w:sz w:val="24"/>
          <w:szCs w:val="24"/>
        </w:rPr>
        <w:t xml:space="preserve"> cizích finančních prostředků </w:t>
      </w:r>
      <w:r>
        <w:rPr>
          <w:color w:val="002060"/>
          <w:sz w:val="24"/>
          <w:szCs w:val="24"/>
        </w:rPr>
        <w:t xml:space="preserve">na uznatelné výdaje </w:t>
      </w:r>
      <w:r>
        <w:rPr>
          <w:color w:val="002060"/>
          <w:sz w:val="24"/>
          <w:szCs w:val="24"/>
        </w:rPr>
        <w:t xml:space="preserve">(např. SFDI, IROP/ITI</w:t>
      </w:r>
      <w:r>
        <w:rPr>
          <w:color w:val="002060"/>
          <w:sz w:val="24"/>
          <w:szCs w:val="24"/>
        </w:rPr>
        <w:t xml:space="preserve"> vlastní zdroje</w:t>
      </w:r>
      <w:r>
        <w:rPr>
          <w:color w:val="002060"/>
          <w:sz w:val="24"/>
          <w:szCs w:val="24"/>
        </w:rPr>
        <w:t xml:space="preserve">)</w:t>
      </w:r>
      <w:r/>
    </w:p>
    <w:p>
      <w:pPr>
        <w:pStyle w:val="620"/>
        <w:jc w:val="both"/>
        <w:spacing w:lineRule="auto" w:line="276"/>
        <w:rPr>
          <w:color w:val="002060"/>
          <w:sz w:val="24"/>
          <w:szCs w:val="24"/>
        </w:rPr>
      </w:pPr>
      <w:r>
        <w:rPr>
          <w:color w:val="002060"/>
          <w:sz w:val="24"/>
          <w:szCs w:val="24"/>
        </w:rPr>
      </w:r>
      <w:r/>
    </w:p>
    <w:tbl>
      <w:tblPr>
        <w:tblStyle w:val="627"/>
        <w:tblW w:w="0" w:type="auto"/>
        <w:tblInd w:w="720" w:type="dxa"/>
        <w:tblLook w:val="04A0" w:firstRow="1" w:lastRow="0" w:firstColumn="1" w:lastColumn="0" w:noHBand="0" w:noVBand="1"/>
      </w:tblPr>
      <w:tblGrid>
        <w:gridCol w:w="1104"/>
        <w:gridCol w:w="3013"/>
        <w:gridCol w:w="1348"/>
        <w:gridCol w:w="2877"/>
      </w:tblGrid>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0 %</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w:t>
            </w:r>
            <w:r>
              <w:rPr>
                <w:color w:val="002060"/>
                <w:sz w:val="24"/>
                <w:szCs w:val="24"/>
              </w:rPr>
              <w:t xml:space="preserve"> 10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2</w:t>
            </w:r>
            <w:r>
              <w:rPr>
                <w:color w:val="002060"/>
                <w:sz w:val="24"/>
                <w:szCs w:val="24"/>
              </w:rPr>
              <w:t xml:space="preserve">0</w:t>
            </w:r>
            <w:r>
              <w:rPr>
                <w:color w:val="002060"/>
                <w:sz w:val="24"/>
                <w:szCs w:val="24"/>
              </w:rPr>
              <w:t xml:space="preserve">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30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4</w:t>
            </w:r>
            <w:r>
              <w:rPr>
                <w:color w:val="002060"/>
                <w:sz w:val="24"/>
                <w:szCs w:val="24"/>
              </w:rPr>
              <w:t xml:space="preserve">0</w:t>
            </w:r>
            <w:r>
              <w:rPr>
                <w:color w:val="002060"/>
                <w:sz w:val="24"/>
                <w:szCs w:val="24"/>
              </w:rPr>
              <w:t xml:space="preserve">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50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60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70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w:t>
            </w:r>
            <w:r>
              <w:rPr>
                <w:color w:val="002060"/>
                <w:sz w:val="24"/>
                <w:szCs w:val="24"/>
              </w:rPr>
              <w:t xml:space="preserve">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80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9</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90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9</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spolufinancování</w:t>
            </w:r>
            <w:r/>
          </w:p>
        </w:tc>
      </w:tr>
      <w:tr>
        <w:trPr/>
        <w:tc>
          <w:tcPr>
            <w:tcW w:w="44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40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&lt; 100 </w:t>
            </w:r>
            <w:r>
              <w:rPr>
                <w:color w:val="002060"/>
                <w:sz w:val="24"/>
                <w:szCs w:val="24"/>
              </w:rPr>
              <w:t xml:space="preserv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310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spolufinancování</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dopravní</w:t>
      </w:r>
      <w:r>
        <w:rPr>
          <w:color w:val="002060"/>
          <w:sz w:val="24"/>
          <w:szCs w:val="24"/>
          <w:u w:val="single"/>
        </w:rPr>
        <w:t xml:space="preserve"> </w:t>
      </w:r>
      <w:r>
        <w:rPr>
          <w:color w:val="002060"/>
          <w:sz w:val="24"/>
          <w:szCs w:val="24"/>
          <w:u w:val="single"/>
        </w:rPr>
        <w:t xml:space="preserve">význam</w:t>
      </w:r>
      <w:r>
        <w:rPr>
          <w:color w:val="002060"/>
          <w:sz w:val="24"/>
          <w:szCs w:val="24"/>
        </w:rPr>
        <w:t xml:space="preserve">: je určen třídou komunikace na síti spravované Středočeským krajem (II. a III.</w:t>
      </w:r>
      <w:r>
        <w:rPr>
          <w:color w:val="002060"/>
          <w:sz w:val="24"/>
          <w:szCs w:val="24"/>
        </w:rPr>
        <w:t xml:space="preserve"> </w:t>
      </w:r>
      <w:r>
        <w:rPr>
          <w:color w:val="002060"/>
          <w:sz w:val="24"/>
          <w:szCs w:val="24"/>
        </w:rPr>
        <w:t xml:space="preserve">tř.)</w:t>
      </w:r>
      <w:r>
        <w:rPr>
          <w:color w:val="002060"/>
          <w:sz w:val="24"/>
          <w:szCs w:val="24"/>
        </w:rPr>
        <w:t xml:space="preserve"> a významem dané komunikace v regionu.</w:t>
      </w:r>
      <w:r>
        <w:rPr>
          <w:color w:val="002060"/>
          <w:sz w:val="24"/>
          <w:szCs w:val="24"/>
        </w:rPr>
        <w:t xml:space="preserve"> </w:t>
      </w:r>
      <w:r>
        <w:rPr>
          <w:color w:val="002060"/>
          <w:sz w:val="24"/>
          <w:szCs w:val="24"/>
        </w:rPr>
        <w:t xml:space="preserve">O</w:t>
      </w:r>
      <w:r>
        <w:rPr>
          <w:color w:val="002060"/>
          <w:sz w:val="24"/>
          <w:szCs w:val="24"/>
        </w:rPr>
        <w:t xml:space="preserve">dstraněno</w:t>
      </w:r>
      <w:r>
        <w:rPr>
          <w:color w:val="002060"/>
          <w:sz w:val="24"/>
          <w:szCs w:val="24"/>
        </w:rPr>
        <w:t xml:space="preserve"> z tabulky nehodnoceno</w:t>
      </w:r>
      <w:r>
        <w:rPr>
          <w:color w:val="002060"/>
          <w:sz w:val="24"/>
          <w:szCs w:val="24"/>
        </w:rPr>
        <w:t xml:space="preserve">.</w:t>
      </w:r>
      <w:r/>
    </w:p>
    <w:p>
      <w:pPr>
        <w:pStyle w:val="620"/>
        <w:jc w:val="both"/>
        <w:spacing w:lineRule="auto" w:line="276"/>
        <w:rPr>
          <w:color w:val="002060"/>
          <w:sz w:val="24"/>
          <w:szCs w:val="24"/>
        </w:rPr>
      </w:pPr>
      <w:r>
        <w:rPr>
          <w:color w:val="002060"/>
          <w:sz w:val="24"/>
          <w:szCs w:val="24"/>
        </w:rPr>
      </w:r>
      <w:r/>
    </w:p>
    <w:tbl>
      <w:tblPr>
        <w:tblStyle w:val="627"/>
        <w:tblW w:w="0" w:type="auto"/>
        <w:tblInd w:w="704" w:type="dxa"/>
        <w:tblLook w:val="04A0" w:firstRow="1" w:lastRow="0" w:firstColumn="1" w:lastColumn="0" w:noHBand="0" w:noVBand="1"/>
      </w:tblPr>
      <w:tblGrid>
        <w:gridCol w:w="1125"/>
        <w:gridCol w:w="3330"/>
        <w:gridCol w:w="1424"/>
        <w:gridCol w:w="2479"/>
      </w:tblGrid>
      <w:tr>
        <w:trPr/>
        <w:tc>
          <w:tcPr>
            <w:tcW w:w="11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333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w:t>
            </w:r>
            <w:r>
              <w:rPr>
                <w:color w:val="002060"/>
                <w:sz w:val="24"/>
                <w:szCs w:val="24"/>
              </w:rPr>
              <w:t xml:space="preserve">opis</w:t>
            </w:r>
            <w:r/>
          </w:p>
        </w:tc>
        <w:tc>
          <w:tcPr>
            <w:tcW w:w="142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4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11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333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II. třída</w:t>
            </w:r>
            <w:r/>
          </w:p>
        </w:tc>
        <w:tc>
          <w:tcPr>
            <w:tcW w:w="142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8 - 10</w:t>
            </w:r>
            <w:r/>
          </w:p>
        </w:tc>
        <w:tc>
          <w:tcPr>
            <w:tcW w:w="24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význam</w:t>
            </w:r>
            <w:r/>
          </w:p>
        </w:tc>
      </w:tr>
      <w:tr>
        <w:trPr/>
        <w:tc>
          <w:tcPr>
            <w:tcW w:w="11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333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III. třída</w:t>
            </w:r>
            <w:r/>
          </w:p>
        </w:tc>
        <w:tc>
          <w:tcPr>
            <w:tcW w:w="1424"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1 - 7</w:t>
            </w:r>
            <w:r/>
          </w:p>
        </w:tc>
        <w:tc>
          <w:tcPr>
            <w:tcW w:w="24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Dopravní význam</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technický stav</w:t>
      </w:r>
      <w:r>
        <w:rPr>
          <w:color w:val="002060"/>
          <w:sz w:val="24"/>
          <w:szCs w:val="24"/>
        </w:rPr>
        <w:t xml:space="preserve">: hodnotí komunikaci z hlediska stavebně-technického, tedy směrového a výškového řešení, rozhledové poměry, řešení křižovatek atd. </w:t>
      </w:r>
      <w:r/>
    </w:p>
    <w:p>
      <w:pPr>
        <w:pStyle w:val="620"/>
        <w:jc w:val="both"/>
        <w:spacing w:lineRule="auto" w:line="276"/>
        <w:rPr>
          <w:color w:val="002060"/>
          <w:sz w:val="24"/>
          <w:szCs w:val="24"/>
        </w:rPr>
      </w:pPr>
      <w:r>
        <w:rPr>
          <w:color w:val="002060"/>
          <w:sz w:val="24"/>
          <w:szCs w:val="24"/>
        </w:rPr>
      </w:r>
      <w:r/>
    </w:p>
    <w:tbl>
      <w:tblPr>
        <w:tblStyle w:val="627"/>
        <w:tblW w:w="0" w:type="auto"/>
        <w:tblInd w:w="720" w:type="dxa"/>
        <w:tblLook w:val="04A0" w:firstRow="1" w:lastRow="0" w:firstColumn="1" w:lastColumn="0" w:noHBand="0" w:noVBand="1"/>
      </w:tblPr>
      <w:tblGrid>
        <w:gridCol w:w="1049"/>
        <w:gridCol w:w="3406"/>
        <w:gridCol w:w="1348"/>
        <w:gridCol w:w="2539"/>
      </w:tblGrid>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w:t>
            </w:r>
            <w:r>
              <w:rPr>
                <w:color w:val="002060"/>
                <w:sz w:val="24"/>
                <w:szCs w:val="24"/>
              </w:rPr>
              <w:t xml:space="preserve">opis</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411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Nehodnoceno</w:t>
            </w:r>
            <w:r>
              <w:rPr>
                <w:strike/>
                <w:color w:val="002060"/>
                <w:sz w:val="24"/>
                <w:szCs w:val="24"/>
              </w:rPr>
              <w:t xml:space="preserve"> </w:t>
            </w:r>
            <w:r>
              <w:rPr>
                <w:color w:val="002060"/>
                <w:sz w:val="24"/>
                <w:szCs w:val="24"/>
              </w:rPr>
              <w:t xml:space="preserve">změněno</w:t>
            </w:r>
            <w:r>
              <w:rPr>
                <w:color w:val="002060"/>
                <w:sz w:val="24"/>
                <w:szCs w:val="24"/>
              </w:rPr>
              <w:t xml:space="preserve"> na Novostavba</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Technický stav</w:t>
            </w:r>
            <w:r/>
          </w:p>
        </w:tc>
      </w:tr>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Splňuje</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Technický stav</w:t>
            </w:r>
            <w:r/>
          </w:p>
        </w:tc>
      </w:tr>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Splňuje s</w:t>
            </w:r>
            <w:r>
              <w:rPr>
                <w:color w:val="002060"/>
                <w:sz w:val="24"/>
                <w:szCs w:val="24"/>
              </w:rPr>
              <w:t xml:space="preserve"> </w:t>
            </w:r>
            <w:r>
              <w:rPr>
                <w:color w:val="002060"/>
                <w:sz w:val="24"/>
                <w:szCs w:val="24"/>
              </w:rPr>
              <w:t xml:space="preserve">nedostatky</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Technický stav</w:t>
            </w:r>
            <w:r/>
          </w:p>
        </w:tc>
      </w:tr>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Splňuje s</w:t>
            </w:r>
            <w:r>
              <w:rPr>
                <w:color w:val="002060"/>
                <w:sz w:val="24"/>
                <w:szCs w:val="24"/>
              </w:rPr>
              <w:t xml:space="preserve"> </w:t>
            </w:r>
            <w:r>
              <w:rPr>
                <w:color w:val="002060"/>
                <w:sz w:val="24"/>
                <w:szCs w:val="24"/>
              </w:rPr>
              <w:t xml:space="preserve">výhradami</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Technický stav</w:t>
            </w:r>
            <w:r/>
          </w:p>
        </w:tc>
      </w:tr>
      <w:tr>
        <w:trPr/>
        <w:tc>
          <w:tcPr>
            <w:tcW w:w="4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w:t>
            </w:r>
            <w:r>
              <w:rPr>
                <w:color w:val="002060"/>
                <w:sz w:val="24"/>
                <w:szCs w:val="24"/>
              </w:rPr>
              <w:t xml:space="preserve">esplňuje</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Technický stav</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stavební stav</w:t>
      </w:r>
      <w:r>
        <w:rPr>
          <w:color w:val="002060"/>
          <w:sz w:val="24"/>
          <w:szCs w:val="24"/>
        </w:rPr>
        <w:t xml:space="preserve">:</w:t>
      </w:r>
      <w:r>
        <w:rPr>
          <w:rFonts w:cs="Times New Roman"/>
          <w:color w:val="002060"/>
        </w:rPr>
        <w:t xml:space="preserve"> </w:t>
      </w:r>
      <w:r>
        <w:rPr>
          <w:color w:val="002060"/>
          <w:sz w:val="24"/>
          <w:szCs w:val="24"/>
        </w:rPr>
        <w:t xml:space="preserve">je určen hodnocením stavu vozovky, např. na základě měření multifunkčním diagnostickým vozidlem, nebo jiným způsobem podle TP 82 a TP 87.</w:t>
      </w:r>
      <w:r>
        <w:rPr>
          <w:color w:val="002060"/>
          <w:sz w:val="24"/>
          <w:szCs w:val="24"/>
        </w:rPr>
        <w:t xml:space="preserve"> Vychází ze systému CLEVERA.</w:t>
      </w:r>
      <w:r/>
    </w:p>
    <w:p>
      <w:pPr>
        <w:pStyle w:val="620"/>
        <w:numPr>
          <w:ilvl w:val="0"/>
          <w:numId w:val="4"/>
        </w:numPr>
        <w:jc w:val="both"/>
        <w:spacing w:lineRule="auto" w:line="276"/>
        <w:rPr>
          <w:color w:val="002060"/>
          <w:sz w:val="24"/>
          <w:szCs w:val="24"/>
        </w:rPr>
      </w:pPr>
      <w:r>
        <w:rPr>
          <w:color w:val="002060"/>
          <w:sz w:val="24"/>
          <w:szCs w:val="24"/>
        </w:rPr>
      </w:r>
      <w:r/>
    </w:p>
    <w:tbl>
      <w:tblPr>
        <w:tblStyle w:val="627"/>
        <w:tblW w:w="0" w:type="auto"/>
        <w:tblInd w:w="709" w:type="dxa"/>
        <w:tblLook w:val="04A0" w:firstRow="1" w:lastRow="0" w:firstColumn="1" w:lastColumn="0" w:noHBand="0" w:noVBand="1"/>
      </w:tblPr>
      <w:tblGrid>
        <w:gridCol w:w="1049"/>
        <w:gridCol w:w="3426"/>
        <w:gridCol w:w="1348"/>
        <w:gridCol w:w="2530"/>
      </w:tblGrid>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w:t>
            </w:r>
            <w:r>
              <w:rPr>
                <w:color w:val="002060"/>
                <w:sz w:val="24"/>
                <w:szCs w:val="24"/>
              </w:rPr>
              <w:t xml:space="preserve">opis</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4111" w:type="dxa"/>
            <w:textDirection w:val="lrTb"/>
            <w:noWrap w:val="false"/>
          </w:tcPr>
          <w:p>
            <w:pPr>
              <w:pStyle w:val="620"/>
              <w:numPr>
                <w:ilvl w:val="0"/>
                <w:numId w:val="4"/>
              </w:numPr>
              <w:jc w:val="both"/>
              <w:spacing w:lineRule="auto" w:line="276"/>
              <w:rPr>
                <w:color w:val="002060"/>
                <w:sz w:val="24"/>
                <w:szCs w:val="24"/>
              </w:rPr>
            </w:pPr>
            <w:r>
              <w:rPr>
                <w:strike/>
                <w:color w:val="002060"/>
                <w:sz w:val="24"/>
                <w:szCs w:val="24"/>
              </w:rPr>
              <w:t xml:space="preserve">Nehodnoceno </w:t>
            </w:r>
            <w:r>
              <w:rPr>
                <w:color w:val="002060"/>
                <w:sz w:val="24"/>
                <w:szCs w:val="24"/>
              </w:rPr>
              <w:t xml:space="preserve">změněno</w:t>
            </w:r>
            <w:r>
              <w:rPr>
                <w:color w:val="002060"/>
                <w:sz w:val="24"/>
                <w:szCs w:val="24"/>
              </w:rPr>
              <w:t xml:space="preserve"> na Novostavba</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Výborný</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Dobrý</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Vyhovující</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Nevyhovující</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6</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H</w:t>
            </w:r>
            <w:r>
              <w:rPr>
                <w:color w:val="002060"/>
                <w:sz w:val="24"/>
                <w:szCs w:val="24"/>
              </w:rPr>
              <w:t xml:space="preserve">avarijní</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Stavební stav</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životní prostředí</w:t>
      </w:r>
      <w:r>
        <w:rPr>
          <w:color w:val="002060"/>
          <w:sz w:val="24"/>
          <w:szCs w:val="24"/>
        </w:rPr>
        <w:t xml:space="preserve">: hodnotí se, jestli akce je vyvolána požadavkem na zlepšení ŽP nebo k němu výrazně přispěje.</w:t>
      </w:r>
      <w:r/>
    </w:p>
    <w:p>
      <w:pPr>
        <w:pStyle w:val="620"/>
        <w:jc w:val="both"/>
        <w:spacing w:lineRule="auto" w:line="276"/>
        <w:rPr>
          <w:color w:val="002060"/>
          <w:sz w:val="24"/>
          <w:szCs w:val="24"/>
        </w:rPr>
      </w:pPr>
      <w:r>
        <w:rPr>
          <w:color w:val="002060"/>
          <w:sz w:val="24"/>
          <w:szCs w:val="24"/>
        </w:rPr>
      </w:r>
      <w:r/>
    </w:p>
    <w:tbl>
      <w:tblPr>
        <w:tblStyle w:val="627"/>
        <w:tblW w:w="0" w:type="auto"/>
        <w:tblInd w:w="709" w:type="dxa"/>
        <w:tblLook w:val="04A0" w:firstRow="1" w:lastRow="0" w:firstColumn="1" w:lastColumn="0" w:noHBand="0" w:noVBand="1"/>
      </w:tblPr>
      <w:tblGrid>
        <w:gridCol w:w="1049"/>
        <w:gridCol w:w="3423"/>
        <w:gridCol w:w="1348"/>
        <w:gridCol w:w="2533"/>
      </w:tblGrid>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w:t>
            </w:r>
            <w:r>
              <w:rPr>
                <w:color w:val="002060"/>
                <w:sz w:val="24"/>
                <w:szCs w:val="24"/>
              </w:rPr>
              <w:t xml:space="preserve">opis</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Nehodnoceno</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Životní prostředí</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Bez vlivu</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Životní prostředí</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Zlepší stav ŽP</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Životní prostředí</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regionální význam</w:t>
      </w:r>
      <w:r>
        <w:rPr>
          <w:color w:val="002060"/>
          <w:sz w:val="24"/>
          <w:szCs w:val="24"/>
        </w:rPr>
        <w:t xml:space="preserve">: umožňuje posoudit lokalizaci a určení komunikace, úseku z hlediska regionálního významu</w:t>
      </w:r>
      <w:r>
        <w:rPr>
          <w:color w:val="002060"/>
          <w:sz w:val="24"/>
          <w:szCs w:val="24"/>
        </w:rPr>
        <w:t xml:space="preserve"> či s ohledem na budoucí vývoj v dané lokalitě a jiné regionální vlivy</w:t>
      </w:r>
      <w:r>
        <w:rPr>
          <w:color w:val="002060"/>
          <w:sz w:val="24"/>
          <w:szCs w:val="24"/>
        </w:rPr>
        <w:t xml:space="preserve">. </w:t>
      </w:r>
      <w:r>
        <w:rPr>
          <w:color w:val="002060"/>
          <w:sz w:val="24"/>
          <w:szCs w:val="24"/>
        </w:rPr>
        <w:t xml:space="preserve">Upraveny</w:t>
      </w:r>
      <w:r>
        <w:rPr>
          <w:color w:val="002060"/>
          <w:sz w:val="24"/>
          <w:szCs w:val="24"/>
        </w:rPr>
        <w:t xml:space="preserve"> koeficienty</w:t>
      </w:r>
      <w:r>
        <w:rPr>
          <w:color w:val="002060"/>
          <w:sz w:val="24"/>
          <w:szCs w:val="24"/>
        </w:rPr>
        <w:t xml:space="preserve">:</w:t>
      </w:r>
      <w:r/>
    </w:p>
    <w:p>
      <w:pPr>
        <w:ind w:left="360"/>
        <w:jc w:val="both"/>
        <w:spacing w:lineRule="auto" w:line="276"/>
        <w:rPr>
          <w:color w:val="002060"/>
          <w:sz w:val="24"/>
          <w:szCs w:val="24"/>
        </w:rPr>
      </w:pPr>
      <w:r>
        <w:rPr>
          <w:color w:val="002060"/>
          <w:sz w:val="24"/>
          <w:szCs w:val="24"/>
        </w:rPr>
        <w:t xml:space="preserve">opravy a rekonstrukce</w:t>
      </w:r>
      <w:r>
        <w:rPr>
          <w:color w:val="002060"/>
          <w:sz w:val="24"/>
          <w:szCs w:val="24"/>
        </w:rPr>
        <w:t xml:space="preserve"> 1</w:t>
      </w:r>
      <w:r/>
    </w:p>
    <w:p>
      <w:pPr>
        <w:ind w:left="360"/>
        <w:jc w:val="both"/>
        <w:spacing w:lineRule="auto" w:line="276"/>
        <w:rPr>
          <w:color w:val="002060"/>
          <w:sz w:val="24"/>
          <w:szCs w:val="24"/>
        </w:rPr>
      </w:pPr>
      <w:r>
        <w:rPr>
          <w:color w:val="002060"/>
          <w:sz w:val="24"/>
          <w:szCs w:val="24"/>
        </w:rPr>
        <w:t xml:space="preserve">mosty 1</w:t>
      </w:r>
      <w:r/>
    </w:p>
    <w:p>
      <w:pPr>
        <w:ind w:left="360"/>
        <w:jc w:val="both"/>
        <w:spacing w:lineRule="auto" w:line="276"/>
        <w:rPr>
          <w:color w:val="002060"/>
          <w:sz w:val="24"/>
          <w:szCs w:val="24"/>
        </w:rPr>
      </w:pPr>
      <w:r>
        <w:rPr>
          <w:color w:val="002060"/>
          <w:sz w:val="24"/>
          <w:szCs w:val="24"/>
        </w:rPr>
        <w:t xml:space="preserve">bodové závady 1</w:t>
      </w:r>
      <w:r/>
    </w:p>
    <w:p>
      <w:pPr>
        <w:ind w:left="360"/>
        <w:jc w:val="both"/>
        <w:spacing w:lineRule="auto" w:line="276"/>
        <w:rPr>
          <w:color w:val="002060"/>
          <w:sz w:val="24"/>
          <w:szCs w:val="24"/>
        </w:rPr>
      </w:pPr>
      <w:r>
        <w:rPr>
          <w:color w:val="002060"/>
          <w:sz w:val="24"/>
          <w:szCs w:val="24"/>
        </w:rPr>
        <w:t xml:space="preserve">novostavby 1</w:t>
      </w:r>
      <w:r/>
    </w:p>
    <w:p>
      <w:pPr>
        <w:pStyle w:val="620"/>
        <w:jc w:val="both"/>
        <w:spacing w:lineRule="auto" w:line="276"/>
        <w:rPr>
          <w:color w:val="002060"/>
          <w:sz w:val="24"/>
          <w:szCs w:val="24"/>
        </w:rPr>
      </w:pPr>
      <w:r>
        <w:rPr>
          <w:color w:val="002060"/>
          <w:sz w:val="24"/>
          <w:szCs w:val="24"/>
        </w:rPr>
      </w:r>
      <w:r/>
    </w:p>
    <w:tbl>
      <w:tblPr>
        <w:tblStyle w:val="627"/>
        <w:tblW w:w="0" w:type="auto"/>
        <w:tblInd w:w="709" w:type="dxa"/>
        <w:tblLook w:val="04A0" w:firstRow="1" w:lastRow="0" w:firstColumn="1" w:lastColumn="0" w:noHBand="0" w:noVBand="1"/>
      </w:tblPr>
      <w:tblGrid>
        <w:gridCol w:w="1049"/>
        <w:gridCol w:w="3399"/>
        <w:gridCol w:w="1348"/>
        <w:gridCol w:w="2557"/>
      </w:tblGrid>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w:t>
            </w:r>
            <w:r>
              <w:rPr>
                <w:color w:val="002060"/>
                <w:sz w:val="24"/>
                <w:szCs w:val="24"/>
              </w:rPr>
              <w:t xml:space="preserve">opis</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20"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411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Nehodnoceno</w:t>
            </w:r>
            <w:r/>
          </w:p>
        </w:tc>
        <w:tc>
          <w:tcPr>
            <w:tcW w:w="85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297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Regionální význam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Nízký</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Regionální význam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Střední</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Regionální význam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Vysoký</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Regionální význam</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Velmi vysoký</w:t>
            </w:r>
            <w:r/>
          </w:p>
        </w:tc>
        <w:tc>
          <w:tcPr>
            <w:tcW w:w="85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297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Regionální význam</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jediná přístupová cesta</w:t>
      </w:r>
      <w:r>
        <w:rPr>
          <w:color w:val="002060"/>
          <w:sz w:val="24"/>
          <w:szCs w:val="24"/>
        </w:rPr>
        <w:t xml:space="preserve">:</w:t>
      </w:r>
      <w:r>
        <w:rPr>
          <w:color w:val="002060"/>
          <w:sz w:val="24"/>
          <w:szCs w:val="24"/>
        </w:rPr>
        <w:t xml:space="preserve"> pokud akce leží na komunikaci, tvořící jedinou přístupovou cestu do obce, je možné tuto skutečnost zohlednit, z důvodu možnosti objízdných tras a zátěže při realizaci dopravní stavby pro místní a okolní obyvatele.</w:t>
      </w:r>
      <w:r/>
    </w:p>
    <w:p>
      <w:pPr>
        <w:pStyle w:val="620"/>
        <w:jc w:val="both"/>
        <w:spacing w:lineRule="auto" w:line="276"/>
        <w:rPr>
          <w:color w:val="002060"/>
          <w:sz w:val="24"/>
          <w:szCs w:val="24"/>
        </w:rPr>
      </w:pPr>
      <w:r>
        <w:rPr>
          <w:color w:val="002060"/>
          <w:sz w:val="24"/>
          <w:szCs w:val="24"/>
        </w:rPr>
      </w:r>
      <w:r/>
    </w:p>
    <w:tbl>
      <w:tblPr>
        <w:tblStyle w:val="627"/>
        <w:tblW w:w="0" w:type="auto"/>
        <w:tblInd w:w="709" w:type="dxa"/>
        <w:tblLook w:val="04A0" w:firstRow="1" w:lastRow="0" w:firstColumn="1" w:lastColumn="0" w:noHBand="0" w:noVBand="1"/>
      </w:tblPr>
      <w:tblGrid>
        <w:gridCol w:w="1049"/>
        <w:gridCol w:w="3281"/>
        <w:gridCol w:w="1348"/>
        <w:gridCol w:w="2675"/>
      </w:tblGrid>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20"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411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Neurčeno</w:t>
            </w:r>
            <w:r/>
          </w:p>
        </w:tc>
        <w:tc>
          <w:tcPr>
            <w:tcW w:w="709"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3113"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Jediná přístupová cesta</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Ano</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Jediná přístupová cesta</w:t>
            </w:r>
            <w:r/>
          </w:p>
        </w:tc>
      </w:tr>
      <w:tr>
        <w:trPr/>
        <w:tc>
          <w:tcPr>
            <w:tcW w:w="420"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Jediná přístupová cesta</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stav přípravy</w:t>
      </w:r>
      <w:r>
        <w:rPr>
          <w:color w:val="002060"/>
          <w:sz w:val="24"/>
          <w:szCs w:val="24"/>
        </w:rPr>
        <w:t xml:space="preserve">:</w:t>
      </w:r>
      <w:r>
        <w:rPr>
          <w:color w:val="002060"/>
          <w:sz w:val="24"/>
          <w:szCs w:val="24"/>
        </w:rPr>
        <w:t xml:space="preserve"> kritérium hodnotící stav připravenosti akce k realizaci z hlediska projekčních prací a inženýrské činnosti včetně případného majetkoprávního vypořádání. </w:t>
      </w:r>
      <w:r/>
    </w:p>
    <w:p>
      <w:pPr>
        <w:ind w:left="360"/>
        <w:jc w:val="both"/>
        <w:spacing w:lineRule="auto" w:line="276"/>
        <w:rPr>
          <w:color w:val="002060"/>
          <w:sz w:val="24"/>
          <w:szCs w:val="24"/>
        </w:rPr>
      </w:pPr>
      <w:r>
        <w:rPr>
          <w:color w:val="002060"/>
          <w:sz w:val="24"/>
          <w:szCs w:val="24"/>
        </w:rPr>
        <w:t xml:space="preserve">Upraveny koeficienty:</w:t>
      </w:r>
      <w:r/>
    </w:p>
    <w:p>
      <w:pPr>
        <w:ind w:left="360"/>
        <w:jc w:val="both"/>
        <w:spacing w:lineRule="auto" w:line="276"/>
        <w:rPr>
          <w:color w:val="002060"/>
          <w:sz w:val="24"/>
          <w:szCs w:val="24"/>
        </w:rPr>
      </w:pPr>
      <w:r>
        <w:rPr>
          <w:color w:val="002060"/>
          <w:sz w:val="24"/>
          <w:szCs w:val="24"/>
        </w:rPr>
        <w:t xml:space="preserve">Opravy a rekonstrukce 1</w:t>
      </w:r>
      <w:r/>
    </w:p>
    <w:p>
      <w:pPr>
        <w:ind w:left="360"/>
        <w:jc w:val="both"/>
        <w:spacing w:lineRule="auto" w:line="276"/>
        <w:rPr>
          <w:color w:val="002060"/>
          <w:sz w:val="24"/>
          <w:szCs w:val="24"/>
        </w:rPr>
      </w:pPr>
      <w:r>
        <w:rPr>
          <w:color w:val="002060"/>
          <w:sz w:val="24"/>
          <w:szCs w:val="24"/>
        </w:rPr>
        <w:t xml:space="preserve">Mosty 1</w:t>
      </w:r>
      <w:r/>
    </w:p>
    <w:p>
      <w:pPr>
        <w:ind w:left="360"/>
        <w:jc w:val="both"/>
        <w:spacing w:lineRule="auto" w:line="276"/>
        <w:rPr>
          <w:color w:val="002060"/>
          <w:sz w:val="24"/>
          <w:szCs w:val="24"/>
        </w:rPr>
      </w:pPr>
      <w:r>
        <w:rPr>
          <w:color w:val="002060"/>
          <w:sz w:val="24"/>
          <w:szCs w:val="24"/>
        </w:rPr>
        <w:t xml:space="preserve">Bodové závady 1</w:t>
      </w:r>
      <w:r/>
    </w:p>
    <w:p>
      <w:pPr>
        <w:ind w:left="360"/>
        <w:jc w:val="both"/>
        <w:spacing w:lineRule="auto" w:line="276"/>
        <w:rPr>
          <w:color w:val="002060"/>
          <w:sz w:val="24"/>
          <w:szCs w:val="24"/>
        </w:rPr>
      </w:pPr>
      <w:r>
        <w:rPr>
          <w:color w:val="002060"/>
          <w:sz w:val="24"/>
          <w:szCs w:val="24"/>
        </w:rPr>
        <w:t xml:space="preserve">Novostavby 1</w:t>
      </w:r>
      <w:r/>
    </w:p>
    <w:p>
      <w:pPr>
        <w:pStyle w:val="620"/>
        <w:jc w:val="both"/>
        <w:spacing w:lineRule="auto" w:line="276"/>
        <w:rPr>
          <w:color w:val="002060"/>
          <w:sz w:val="24"/>
          <w:szCs w:val="24"/>
        </w:rPr>
      </w:pPr>
      <w:r>
        <w:rPr>
          <w:color w:val="002060"/>
          <w:sz w:val="24"/>
          <w:szCs w:val="24"/>
        </w:rPr>
      </w:r>
      <w:r/>
    </w:p>
    <w:tbl>
      <w:tblPr>
        <w:tblStyle w:val="627"/>
        <w:tblW w:w="0" w:type="auto"/>
        <w:tblInd w:w="704" w:type="dxa"/>
        <w:tblLook w:val="04A0" w:firstRow="1" w:lastRow="0" w:firstColumn="1" w:lastColumn="0" w:noHBand="0" w:noVBand="1"/>
      </w:tblPr>
      <w:tblGrid>
        <w:gridCol w:w="1049"/>
        <w:gridCol w:w="3219"/>
        <w:gridCol w:w="1348"/>
        <w:gridCol w:w="2742"/>
      </w:tblGrid>
      <w:tr>
        <w:trPr/>
        <w:tc>
          <w:tcPr>
            <w:tcW w:w="4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25"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4111"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Neurčeno</w:t>
            </w:r>
            <w:r/>
          </w:p>
        </w:tc>
        <w:tc>
          <w:tcPr>
            <w:tcW w:w="709"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3113"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Stav připravenosti</w:t>
            </w:r>
            <w:r/>
          </w:p>
        </w:tc>
      </w:tr>
      <w:tr>
        <w:trPr/>
        <w:tc>
          <w:tcPr>
            <w:tcW w:w="4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Nízká</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 připravenosti</w:t>
            </w:r>
            <w:r/>
          </w:p>
        </w:tc>
      </w:tr>
      <w:tr>
        <w:trPr/>
        <w:tc>
          <w:tcPr>
            <w:tcW w:w="4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Střední</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 připravenosti</w:t>
            </w:r>
            <w:r/>
          </w:p>
        </w:tc>
      </w:tr>
      <w:tr>
        <w:trPr/>
        <w:tc>
          <w:tcPr>
            <w:tcW w:w="4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Vysoká</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8</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 připravenosti</w:t>
            </w:r>
            <w:r/>
          </w:p>
        </w:tc>
      </w:tr>
      <w:tr>
        <w:trPr/>
        <w:tc>
          <w:tcPr>
            <w:tcW w:w="42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111"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úplná</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311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Stav připravenosti</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hromadná doprava</w:t>
      </w:r>
      <w:r>
        <w:rPr>
          <w:color w:val="002060"/>
          <w:sz w:val="24"/>
          <w:szCs w:val="24"/>
        </w:rPr>
        <w:t xml:space="preserve">:</w:t>
      </w:r>
      <w:r>
        <w:rPr>
          <w:color w:val="002060"/>
          <w:sz w:val="24"/>
          <w:szCs w:val="24"/>
        </w:rPr>
        <w:t xml:space="preserve"> akce leží na komunikaci, využívané intenzivně hromadnou dopravou.</w:t>
      </w:r>
      <w:r/>
    </w:p>
    <w:p>
      <w:pPr>
        <w:jc w:val="both"/>
        <w:spacing w:lineRule="auto" w:line="276"/>
        <w:rPr>
          <w:color w:val="002060"/>
          <w:sz w:val="24"/>
          <w:szCs w:val="24"/>
        </w:rPr>
      </w:pPr>
      <w:r>
        <w:rPr>
          <w:color w:val="002060"/>
          <w:sz w:val="24"/>
          <w:szCs w:val="24"/>
        </w:rPr>
      </w:r>
      <w:r/>
    </w:p>
    <w:tbl>
      <w:tblPr>
        <w:tblStyle w:val="627"/>
        <w:tblW w:w="0" w:type="auto"/>
        <w:tblInd w:w="720" w:type="dxa"/>
        <w:tblLook w:val="04A0" w:firstRow="1" w:lastRow="0" w:firstColumn="1" w:lastColumn="0" w:noHBand="0" w:noVBand="1"/>
      </w:tblPr>
      <w:tblGrid>
        <w:gridCol w:w="1049"/>
        <w:gridCol w:w="3110"/>
        <w:gridCol w:w="1348"/>
        <w:gridCol w:w="2835"/>
      </w:tblGrid>
      <w:tr>
        <w:trPr/>
        <w:tc>
          <w:tcPr>
            <w:tcW w:w="69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368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325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693"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3685"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Neurčeno</w:t>
            </w:r>
            <w:r/>
          </w:p>
        </w:tc>
        <w:tc>
          <w:tcPr>
            <w:tcW w:w="709"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3255"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Hromadná doprava</w:t>
            </w:r>
            <w:r/>
          </w:p>
        </w:tc>
      </w:tr>
      <w:tr>
        <w:trPr/>
        <w:tc>
          <w:tcPr>
            <w:tcW w:w="69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368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Ano</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325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Hromadná doprava</w:t>
            </w:r>
            <w:r/>
          </w:p>
        </w:tc>
      </w:tr>
      <w:tr>
        <w:trPr/>
        <w:tc>
          <w:tcPr>
            <w:tcW w:w="693"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368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w:t>
            </w:r>
            <w:r/>
          </w:p>
        </w:tc>
        <w:tc>
          <w:tcPr>
            <w:tcW w:w="70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3255"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Hromadná doprava</w:t>
            </w:r>
            <w:r/>
          </w:p>
        </w:tc>
      </w:tr>
    </w:tbl>
    <w:p>
      <w:pPr>
        <w:pStyle w:val="620"/>
        <w:jc w:val="both"/>
        <w:spacing w:lineRule="auto" w:line="276"/>
        <w:rPr>
          <w:color w:val="002060"/>
          <w:sz w:val="24"/>
          <w:szCs w:val="24"/>
        </w:rPr>
      </w:pPr>
      <w:r>
        <w:rPr>
          <w:color w:val="002060"/>
          <w:sz w:val="24"/>
          <w:szCs w:val="24"/>
        </w:rPr>
      </w:r>
      <w:r/>
    </w:p>
    <w:p>
      <w:pPr>
        <w:pStyle w:val="620"/>
        <w:numPr>
          <w:ilvl w:val="0"/>
          <w:numId w:val="4"/>
        </w:numPr>
        <w:jc w:val="both"/>
        <w:spacing w:lineRule="auto" w:line="276"/>
        <w:rPr>
          <w:color w:val="002060"/>
          <w:sz w:val="24"/>
          <w:szCs w:val="24"/>
        </w:rPr>
      </w:pPr>
      <w:r>
        <w:rPr>
          <w:color w:val="002060"/>
          <w:sz w:val="24"/>
          <w:szCs w:val="24"/>
          <w:u w:val="single"/>
        </w:rPr>
        <w:t xml:space="preserve">nehodová lokalita</w:t>
      </w:r>
      <w:r>
        <w:rPr>
          <w:color w:val="002060"/>
          <w:sz w:val="24"/>
          <w:szCs w:val="24"/>
        </w:rPr>
        <w:t xml:space="preserve">:</w:t>
      </w:r>
      <w:r>
        <w:rPr>
          <w:color w:val="002060"/>
          <w:sz w:val="24"/>
          <w:szCs w:val="24"/>
        </w:rPr>
        <w:t xml:space="preserve"> do hodnocení se také zahrnují místa, vyhodnocená jako nehodová lokalita a je možné posoudit bodovou škálou následky těchto dopravních nehod. </w:t>
      </w:r>
      <w:r/>
    </w:p>
    <w:p>
      <w:pPr>
        <w:pStyle w:val="620"/>
        <w:jc w:val="both"/>
        <w:spacing w:lineRule="auto" w:line="276"/>
        <w:rPr>
          <w:color w:val="002060"/>
          <w:sz w:val="24"/>
          <w:szCs w:val="24"/>
        </w:rPr>
      </w:pPr>
      <w:r>
        <w:rPr>
          <w:color w:val="002060"/>
          <w:sz w:val="24"/>
          <w:szCs w:val="24"/>
        </w:rPr>
      </w:r>
      <w:r/>
    </w:p>
    <w:tbl>
      <w:tblPr>
        <w:tblStyle w:val="627"/>
        <w:tblW w:w="0" w:type="auto"/>
        <w:tblInd w:w="709" w:type="dxa"/>
        <w:tblLook w:val="04A0" w:firstRow="1" w:lastRow="0" w:firstColumn="1" w:lastColumn="0" w:noHBand="0" w:noVBand="1"/>
      </w:tblPr>
      <w:tblGrid>
        <w:gridCol w:w="1049"/>
        <w:gridCol w:w="3772"/>
        <w:gridCol w:w="1352"/>
        <w:gridCol w:w="2180"/>
      </w:tblGrid>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Č.</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Popis</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Body</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Kritérium</w:t>
            </w:r>
            <w:r/>
          </w:p>
        </w:tc>
      </w:tr>
      <w:tr>
        <w:trPr/>
        <w:tc>
          <w:tcPr>
            <w:tcW w:w="418"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4889"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Neurčeno</w:t>
            </w:r>
            <w:r/>
          </w:p>
        </w:tc>
        <w:tc>
          <w:tcPr>
            <w:tcW w:w="667"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0</w:t>
            </w:r>
            <w:r/>
          </w:p>
        </w:tc>
        <w:tc>
          <w:tcPr>
            <w:tcW w:w="2379" w:type="dxa"/>
            <w:textDirection w:val="lrTb"/>
            <w:noWrap w:val="false"/>
          </w:tcPr>
          <w:p>
            <w:pPr>
              <w:pStyle w:val="620"/>
              <w:numPr>
                <w:ilvl w:val="0"/>
                <w:numId w:val="4"/>
              </w:numPr>
              <w:jc w:val="both"/>
              <w:spacing w:lineRule="auto" w:line="276"/>
              <w:rPr>
                <w:strike/>
                <w:color w:val="002060"/>
                <w:sz w:val="24"/>
                <w:szCs w:val="24"/>
              </w:rPr>
            </w:pPr>
            <w:r>
              <w:rPr>
                <w:strike/>
                <w:color w:val="002060"/>
                <w:sz w:val="24"/>
                <w:szCs w:val="24"/>
              </w:rPr>
              <w:t xml:space="preserve">Nehodové lokality</w:t>
            </w:r>
            <w:r/>
          </w:p>
        </w:tc>
      </w:tr>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Bez nehod</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0</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Nehodové lokality</w:t>
            </w:r>
            <w:r/>
          </w:p>
        </w:tc>
      </w:tr>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Nehoda bez následků na zdraví, pouze s hmotnými škodami</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2</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Nehodové lokality</w:t>
            </w:r>
            <w:r/>
          </w:p>
        </w:tc>
      </w:tr>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3</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Nehoda s lehkými následky na zdraví</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Nehodové lokality</w:t>
            </w:r>
            <w:r/>
          </w:p>
        </w:tc>
      </w:tr>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4</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Nehoda s těžkými následky na zdraví</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7</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Nehodové lokality</w:t>
            </w:r>
            <w:r/>
          </w:p>
        </w:tc>
      </w:tr>
      <w:tr>
        <w:trPr/>
        <w:tc>
          <w:tcPr>
            <w:tcW w:w="418"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5</w:t>
            </w:r>
            <w:r/>
          </w:p>
        </w:tc>
        <w:tc>
          <w:tcPr>
            <w:tcW w:w="488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Nehoda se smrtelnými následky</w:t>
            </w:r>
            <w:r/>
          </w:p>
        </w:tc>
        <w:tc>
          <w:tcPr>
            <w:tcW w:w="667"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10</w:t>
            </w:r>
            <w:r/>
          </w:p>
        </w:tc>
        <w:tc>
          <w:tcPr>
            <w:tcW w:w="2379" w:type="dxa"/>
            <w:textDirection w:val="lrTb"/>
            <w:noWrap w:val="false"/>
          </w:tcPr>
          <w:p>
            <w:pPr>
              <w:pStyle w:val="620"/>
              <w:numPr>
                <w:ilvl w:val="0"/>
                <w:numId w:val="4"/>
              </w:numPr>
              <w:jc w:val="both"/>
              <w:spacing w:lineRule="auto" w:line="276"/>
              <w:rPr>
                <w:color w:val="002060"/>
                <w:sz w:val="24"/>
                <w:szCs w:val="24"/>
              </w:rPr>
            </w:pPr>
            <w:r>
              <w:rPr>
                <w:color w:val="002060"/>
                <w:sz w:val="24"/>
                <w:szCs w:val="24"/>
              </w:rPr>
              <w:t xml:space="preserve">Nehodové lokality</w:t>
            </w:r>
            <w:r/>
          </w:p>
        </w:tc>
      </w:tr>
    </w:tbl>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Informace k jednotlivým kritériím</w:t>
      </w:r>
      <w:r>
        <w:rPr>
          <w:color w:val="002060"/>
          <w:sz w:val="24"/>
          <w:szCs w:val="24"/>
        </w:rPr>
        <w:t xml:space="preserve"> jsou čerpán</w:t>
      </w:r>
      <w:r>
        <w:rPr>
          <w:color w:val="002060"/>
          <w:sz w:val="24"/>
          <w:szCs w:val="24"/>
        </w:rPr>
        <w:t xml:space="preserve">y</w:t>
      </w:r>
      <w:r>
        <w:rPr>
          <w:color w:val="002060"/>
          <w:sz w:val="24"/>
          <w:szCs w:val="24"/>
        </w:rPr>
        <w:t xml:space="preserve"> krom</w:t>
      </w:r>
      <w:r>
        <w:rPr>
          <w:color w:val="002060"/>
          <w:sz w:val="24"/>
          <w:szCs w:val="24"/>
        </w:rPr>
        <w:t xml:space="preserve">ě</w:t>
      </w:r>
      <w:r>
        <w:rPr>
          <w:color w:val="002060"/>
          <w:sz w:val="24"/>
          <w:szCs w:val="24"/>
        </w:rPr>
        <w:t xml:space="preserve"> projektové dokumentace</w:t>
      </w:r>
      <w:r>
        <w:rPr>
          <w:color w:val="002060"/>
          <w:sz w:val="24"/>
          <w:szCs w:val="24"/>
        </w:rPr>
        <w:t xml:space="preserve"> a dostupných zdrojů dat, zajišťovaných na národní úrovni</w:t>
      </w:r>
      <w:r>
        <w:rPr>
          <w:color w:val="002060"/>
          <w:sz w:val="24"/>
          <w:szCs w:val="24"/>
        </w:rPr>
        <w:t xml:space="preserve">, </w:t>
      </w:r>
      <w:r>
        <w:rPr>
          <w:b/>
          <w:color w:val="002060"/>
          <w:sz w:val="24"/>
          <w:szCs w:val="24"/>
        </w:rPr>
        <w:t xml:space="preserve">prioritně ze systém</w:t>
      </w:r>
      <w:r>
        <w:rPr>
          <w:b/>
          <w:color w:val="002060"/>
          <w:sz w:val="24"/>
          <w:szCs w:val="24"/>
        </w:rPr>
        <w:t xml:space="preserve">ů</w:t>
      </w:r>
      <w:r>
        <w:rPr>
          <w:b/>
          <w:color w:val="002060"/>
          <w:sz w:val="24"/>
          <w:szCs w:val="24"/>
        </w:rPr>
        <w:t xml:space="preserve"> CLEVERA</w:t>
      </w:r>
      <w:r>
        <w:rPr>
          <w:b/>
          <w:color w:val="002060"/>
          <w:sz w:val="24"/>
          <w:szCs w:val="24"/>
        </w:rPr>
        <w:t xml:space="preserve"> a BMS (</w:t>
      </w:r>
      <w:r>
        <w:rPr>
          <w:b/>
          <w:color w:val="002060"/>
          <w:sz w:val="24"/>
          <w:szCs w:val="24"/>
        </w:rPr>
        <w:t xml:space="preserve">Bridge</w:t>
      </w:r>
      <w:r>
        <w:rPr>
          <w:b/>
          <w:color w:val="002060"/>
          <w:sz w:val="24"/>
          <w:szCs w:val="24"/>
        </w:rPr>
        <w:t xml:space="preserve"> Management </w:t>
      </w:r>
      <w:r>
        <w:rPr>
          <w:b/>
          <w:color w:val="002060"/>
          <w:sz w:val="24"/>
          <w:szCs w:val="24"/>
        </w:rPr>
        <w:t xml:space="preserve">System</w:t>
      </w:r>
      <w:r>
        <w:rPr>
          <w:b/>
          <w:color w:val="002060"/>
          <w:sz w:val="24"/>
          <w:szCs w:val="24"/>
        </w:rPr>
        <w:t xml:space="preserve">)</w:t>
      </w:r>
      <w:r>
        <w:rPr>
          <w:color w:val="002060"/>
          <w:sz w:val="24"/>
          <w:szCs w:val="24"/>
        </w:rPr>
        <w:t xml:space="preserve">.</w:t>
      </w:r>
      <w:r>
        <w:rPr>
          <w:color w:val="002060"/>
          <w:sz w:val="24"/>
          <w:szCs w:val="24"/>
        </w:rPr>
        <w:t xml:space="preserve"> Každé z uvedených kritérií obsahuje rozdělení bodové škály</w:t>
      </w:r>
      <w:r>
        <w:rPr>
          <w:color w:val="002060"/>
          <w:sz w:val="24"/>
          <w:szCs w:val="24"/>
        </w:rPr>
        <w:t xml:space="preserve">,</w:t>
      </w:r>
      <w:r>
        <w:rPr>
          <w:color w:val="002060"/>
          <w:sz w:val="24"/>
          <w:szCs w:val="24"/>
        </w:rPr>
        <w:t xml:space="preserve"> a to s ohledem na dosažitelnosti informací. Výsledkem je pak celkové bodové hodnocení akce, které je dáno </w:t>
      </w:r>
      <w:r>
        <w:rPr>
          <w:color w:val="002060"/>
          <w:sz w:val="24"/>
          <w:szCs w:val="24"/>
          <w:u w:val="single"/>
        </w:rPr>
        <w:t xml:space="preserve">součtem bodů za jednotlivá kritéria vynásobená váhou daných kritérií</w:t>
      </w:r>
      <w:r>
        <w:rPr>
          <w:color w:val="002060"/>
          <w:sz w:val="24"/>
          <w:szCs w:val="24"/>
        </w:rPr>
        <w:t xml:space="preserve">.</w:t>
      </w:r>
      <w:r/>
    </w:p>
    <w:p>
      <w:pPr>
        <w:jc w:val="both"/>
        <w:spacing w:lineRule="auto" w:line="276"/>
        <w:rPr>
          <w:color w:val="002060"/>
          <w:sz w:val="24"/>
          <w:szCs w:val="24"/>
        </w:rPr>
      </w:pPr>
      <w:r>
        <w:rPr>
          <w:color w:val="002060"/>
          <w:sz w:val="24"/>
          <w:szCs w:val="24"/>
        </w:rPr>
      </w:r>
      <w:r/>
    </w:p>
    <w:p>
      <w:pPr>
        <w:jc w:val="both"/>
        <w:spacing w:lineRule="auto" w:line="276"/>
        <w:rPr>
          <w:color w:val="002060"/>
          <w:sz w:val="24"/>
          <w:szCs w:val="24"/>
        </w:rPr>
      </w:pPr>
      <w:r>
        <w:rPr>
          <w:color w:val="002060"/>
          <w:sz w:val="24"/>
          <w:szCs w:val="24"/>
        </w:rPr>
        <w:t xml:space="preserve">Prioritně je naším cílem zrealizovat každou dopravní stavbu, jež je naprojektována. Nemalujeme do šuplíku. Připravený projekt má životnost podmíněnou platnými p</w:t>
      </w:r>
      <w:r>
        <w:rPr>
          <w:color w:val="002060"/>
          <w:sz w:val="24"/>
          <w:szCs w:val="24"/>
        </w:rPr>
        <w:t xml:space="preserve">ovoleními a stanovisky, rozpočtem, který je vytvořen v určité cenové hladině daného roku a také v neposlední řadě, jak je výše uvedeno stavebním stavem, jenž se v průběhu let horší, což může vyústit v krajním případě až k potřebě nového technického řešení.</w:t>
      </w:r>
      <w:r/>
    </w:p>
    <w:p>
      <w:pPr>
        <w:rPr>
          <w:color w:val="002060"/>
        </w:rPr>
      </w:pPr>
      <w:r>
        <w:rPr>
          <w:color w:val="002060"/>
        </w:rPr>
      </w: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Courier New">
    <w:panose1 w:val="02070309020205020404"/>
  </w:font>
  <w:font w:name="Wingdings">
    <w:panose1 w:val="05010000000000000000"/>
  </w:font>
  <w:font w:name="Segoe UI">
    <w:panose1 w:val="020B0502040504020204"/>
  </w:font>
  <w:font w:name="Calibri">
    <w:panose1 w:val="020F050202020403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644"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2430" w:hanging="360"/>
      </w:pPr>
      <w:rPr>
        <w:rFonts w:ascii="Calibri" w:hAnsi="Calibri" w:cs="Times New Roman" w:eastAsia="Calibri" w:hint="default"/>
      </w:rPr>
    </w:lvl>
    <w:lvl w:ilvl="1">
      <w:start w:val="1"/>
      <w:numFmt w:val="bullet"/>
      <w:isLgl w:val="false"/>
      <w:suff w:val="tab"/>
      <w:lvlText w:val="o"/>
      <w:lvlJc w:val="left"/>
      <w:pPr>
        <w:ind w:left="3150" w:hanging="360"/>
      </w:pPr>
      <w:rPr>
        <w:rFonts w:ascii="Courier New" w:hAnsi="Courier New" w:cs="Courier New" w:hint="default"/>
      </w:rPr>
    </w:lvl>
    <w:lvl w:ilvl="2">
      <w:start w:val="1"/>
      <w:numFmt w:val="bullet"/>
      <w:isLgl w:val="false"/>
      <w:suff w:val="tab"/>
      <w:lvlText w:val=""/>
      <w:lvlJc w:val="left"/>
      <w:pPr>
        <w:ind w:left="3870" w:hanging="360"/>
      </w:pPr>
      <w:rPr>
        <w:rFonts w:ascii="Wingdings" w:hAnsi="Wingdings" w:hint="default"/>
      </w:rPr>
    </w:lvl>
    <w:lvl w:ilvl="3">
      <w:start w:val="1"/>
      <w:numFmt w:val="bullet"/>
      <w:isLgl w:val="false"/>
      <w:suff w:val="tab"/>
      <w:lvlText w:val=""/>
      <w:lvlJc w:val="left"/>
      <w:pPr>
        <w:ind w:left="4590" w:hanging="360"/>
      </w:pPr>
      <w:rPr>
        <w:rFonts w:ascii="Symbol" w:hAnsi="Symbol" w:hint="default"/>
      </w:rPr>
    </w:lvl>
    <w:lvl w:ilvl="4">
      <w:start w:val="1"/>
      <w:numFmt w:val="bullet"/>
      <w:isLgl w:val="false"/>
      <w:suff w:val="tab"/>
      <w:lvlText w:val="o"/>
      <w:lvlJc w:val="left"/>
      <w:pPr>
        <w:ind w:left="5310" w:hanging="360"/>
      </w:pPr>
      <w:rPr>
        <w:rFonts w:ascii="Courier New" w:hAnsi="Courier New" w:cs="Courier New" w:hint="default"/>
      </w:rPr>
    </w:lvl>
    <w:lvl w:ilvl="5">
      <w:start w:val="1"/>
      <w:numFmt w:val="bullet"/>
      <w:isLgl w:val="false"/>
      <w:suff w:val="tab"/>
      <w:lvlText w:val=""/>
      <w:lvlJc w:val="left"/>
      <w:pPr>
        <w:ind w:left="6030" w:hanging="360"/>
      </w:pPr>
      <w:rPr>
        <w:rFonts w:ascii="Wingdings" w:hAnsi="Wingdings" w:hint="default"/>
      </w:rPr>
    </w:lvl>
    <w:lvl w:ilvl="6">
      <w:start w:val="1"/>
      <w:numFmt w:val="bullet"/>
      <w:isLgl w:val="false"/>
      <w:suff w:val="tab"/>
      <w:lvlText w:val=""/>
      <w:lvlJc w:val="left"/>
      <w:pPr>
        <w:ind w:left="6750" w:hanging="360"/>
      </w:pPr>
      <w:rPr>
        <w:rFonts w:ascii="Symbol" w:hAnsi="Symbol" w:hint="default"/>
      </w:rPr>
    </w:lvl>
    <w:lvl w:ilvl="7">
      <w:start w:val="1"/>
      <w:numFmt w:val="bullet"/>
      <w:isLgl w:val="false"/>
      <w:suff w:val="tab"/>
      <w:lvlText w:val="o"/>
      <w:lvlJc w:val="left"/>
      <w:pPr>
        <w:ind w:left="7470" w:hanging="360"/>
      </w:pPr>
      <w:rPr>
        <w:rFonts w:ascii="Courier New" w:hAnsi="Courier New" w:cs="Courier New" w:hint="default"/>
      </w:rPr>
    </w:lvl>
    <w:lvl w:ilvl="8">
      <w:start w:val="1"/>
      <w:numFmt w:val="bullet"/>
      <w:isLgl w:val="false"/>
      <w:suff w:val="tab"/>
      <w:lvlText w:val=""/>
      <w:lvlJc w:val="left"/>
      <w:pPr>
        <w:ind w:left="819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cs-CZ"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7"/>
    <w:link w:val="614"/>
    <w:uiPriority w:val="9"/>
    <w:rPr>
      <w:rFonts w:ascii="Arial" w:hAnsi="Arial" w:cs="Arial" w:eastAsia="Arial"/>
      <w:sz w:val="40"/>
      <w:szCs w:val="40"/>
    </w:rPr>
  </w:style>
  <w:style w:type="character" w:styleId="14">
    <w:name w:val="Heading 2 Char"/>
    <w:basedOn w:val="617"/>
    <w:link w:val="615"/>
    <w:uiPriority w:val="9"/>
    <w:rPr>
      <w:rFonts w:ascii="Arial" w:hAnsi="Arial" w:cs="Arial" w:eastAsia="Arial"/>
      <w:sz w:val="34"/>
    </w:rPr>
  </w:style>
  <w:style w:type="character" w:styleId="16">
    <w:name w:val="Heading 3 Char"/>
    <w:basedOn w:val="617"/>
    <w:link w:val="616"/>
    <w:uiPriority w:val="9"/>
    <w:rPr>
      <w:rFonts w:ascii="Arial" w:hAnsi="Arial" w:cs="Arial" w:eastAsia="Arial"/>
      <w:sz w:val="30"/>
      <w:szCs w:val="30"/>
    </w:rPr>
  </w:style>
  <w:style w:type="paragraph" w:styleId="17">
    <w:name w:val="Heading 4"/>
    <w:basedOn w:val="613"/>
    <w:next w:val="613"/>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17"/>
    <w:link w:val="17"/>
    <w:uiPriority w:val="9"/>
    <w:rPr>
      <w:rFonts w:ascii="Arial" w:hAnsi="Arial" w:cs="Arial" w:eastAsia="Arial"/>
      <w:b/>
      <w:bCs/>
      <w:sz w:val="26"/>
      <w:szCs w:val="26"/>
    </w:rPr>
  </w:style>
  <w:style w:type="paragraph" w:styleId="19">
    <w:name w:val="Heading 5"/>
    <w:basedOn w:val="613"/>
    <w:next w:val="613"/>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17"/>
    <w:link w:val="19"/>
    <w:uiPriority w:val="9"/>
    <w:rPr>
      <w:rFonts w:ascii="Arial" w:hAnsi="Arial" w:cs="Arial" w:eastAsia="Arial"/>
      <w:b/>
      <w:bCs/>
      <w:sz w:val="24"/>
      <w:szCs w:val="24"/>
    </w:rPr>
  </w:style>
  <w:style w:type="paragraph" w:styleId="21">
    <w:name w:val="Heading 6"/>
    <w:basedOn w:val="613"/>
    <w:next w:val="613"/>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17"/>
    <w:link w:val="21"/>
    <w:uiPriority w:val="9"/>
    <w:rPr>
      <w:rFonts w:ascii="Arial" w:hAnsi="Arial" w:cs="Arial" w:eastAsia="Arial"/>
      <w:b/>
      <w:bCs/>
      <w:sz w:val="22"/>
      <w:szCs w:val="22"/>
    </w:rPr>
  </w:style>
  <w:style w:type="paragraph" w:styleId="23">
    <w:name w:val="Heading 7"/>
    <w:basedOn w:val="613"/>
    <w:next w:val="613"/>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7"/>
    <w:link w:val="23"/>
    <w:uiPriority w:val="9"/>
    <w:rPr>
      <w:rFonts w:ascii="Arial" w:hAnsi="Arial" w:cs="Arial" w:eastAsia="Arial"/>
      <w:b/>
      <w:bCs/>
      <w:i/>
      <w:iCs/>
      <w:sz w:val="22"/>
      <w:szCs w:val="22"/>
    </w:rPr>
  </w:style>
  <w:style w:type="paragraph" w:styleId="25">
    <w:name w:val="Heading 8"/>
    <w:basedOn w:val="613"/>
    <w:next w:val="613"/>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7"/>
    <w:link w:val="25"/>
    <w:uiPriority w:val="9"/>
    <w:rPr>
      <w:rFonts w:ascii="Arial" w:hAnsi="Arial" w:cs="Arial" w:eastAsia="Arial"/>
      <w:i/>
      <w:iCs/>
      <w:sz w:val="22"/>
      <w:szCs w:val="22"/>
    </w:rPr>
  </w:style>
  <w:style w:type="paragraph" w:styleId="27">
    <w:name w:val="Heading 9"/>
    <w:basedOn w:val="613"/>
    <w:next w:val="613"/>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7"/>
    <w:link w:val="27"/>
    <w:uiPriority w:val="9"/>
    <w:rPr>
      <w:rFonts w:ascii="Arial" w:hAnsi="Arial" w:cs="Arial" w:eastAsia="Arial"/>
      <w:i/>
      <w:iCs/>
      <w:sz w:val="21"/>
      <w:szCs w:val="21"/>
    </w:rPr>
  </w:style>
  <w:style w:type="character" w:styleId="33">
    <w:name w:val="Title Char"/>
    <w:basedOn w:val="617"/>
    <w:link w:val="623"/>
    <w:uiPriority w:val="10"/>
    <w:rPr>
      <w:sz w:val="48"/>
      <w:szCs w:val="48"/>
    </w:rPr>
  </w:style>
  <w:style w:type="paragraph" w:styleId="34">
    <w:name w:val="Subtitle"/>
    <w:basedOn w:val="613"/>
    <w:next w:val="613"/>
    <w:link w:val="35"/>
    <w:qFormat/>
    <w:uiPriority w:val="11"/>
    <w:rPr>
      <w:sz w:val="24"/>
      <w:szCs w:val="24"/>
    </w:rPr>
    <w:pPr>
      <w:spacing w:after="200" w:before="200"/>
    </w:pPr>
  </w:style>
  <w:style w:type="character" w:styleId="35">
    <w:name w:val="Subtitle Char"/>
    <w:basedOn w:val="617"/>
    <w:link w:val="34"/>
    <w:uiPriority w:val="11"/>
    <w:rPr>
      <w:sz w:val="24"/>
      <w:szCs w:val="24"/>
    </w:rPr>
  </w:style>
  <w:style w:type="paragraph" w:styleId="36">
    <w:name w:val="Quote"/>
    <w:basedOn w:val="613"/>
    <w:next w:val="613"/>
    <w:link w:val="37"/>
    <w:qFormat/>
    <w:uiPriority w:val="29"/>
    <w:rPr>
      <w:i/>
    </w:rPr>
    <w:pPr>
      <w:ind w:left="720" w:right="720"/>
    </w:pPr>
  </w:style>
  <w:style w:type="character" w:styleId="37">
    <w:name w:val="Quote Char"/>
    <w:link w:val="36"/>
    <w:uiPriority w:val="29"/>
    <w:rPr>
      <w:i/>
    </w:rPr>
  </w:style>
  <w:style w:type="paragraph" w:styleId="38">
    <w:name w:val="Intense Quote"/>
    <w:basedOn w:val="613"/>
    <w:next w:val="613"/>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13"/>
    <w:link w:val="41"/>
    <w:uiPriority w:val="99"/>
    <w:unhideWhenUsed/>
    <w:pPr>
      <w:spacing w:lineRule="auto" w:line="240" w:after="0"/>
      <w:tabs>
        <w:tab w:val="center" w:pos="7143" w:leader="none"/>
        <w:tab w:val="right" w:pos="14287" w:leader="none"/>
      </w:tabs>
    </w:pPr>
  </w:style>
  <w:style w:type="character" w:styleId="41">
    <w:name w:val="Header Char"/>
    <w:basedOn w:val="617"/>
    <w:link w:val="40"/>
    <w:uiPriority w:val="99"/>
  </w:style>
  <w:style w:type="paragraph" w:styleId="42">
    <w:name w:val="Footer"/>
    <w:basedOn w:val="613"/>
    <w:link w:val="45"/>
    <w:uiPriority w:val="99"/>
    <w:unhideWhenUsed/>
    <w:pPr>
      <w:spacing w:lineRule="auto" w:line="240" w:after="0"/>
      <w:tabs>
        <w:tab w:val="center" w:pos="7143" w:leader="none"/>
        <w:tab w:val="right" w:pos="14287" w:leader="none"/>
      </w:tabs>
    </w:pPr>
  </w:style>
  <w:style w:type="character" w:styleId="43">
    <w:name w:val="Footer Char"/>
    <w:basedOn w:val="617"/>
    <w:link w:val="42"/>
    <w:uiPriority w:val="99"/>
  </w:style>
  <w:style w:type="paragraph" w:styleId="44">
    <w:name w:val="Caption"/>
    <w:basedOn w:val="613"/>
    <w:next w:val="613"/>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6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1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1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1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1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1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1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1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1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1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1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1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1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1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1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1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1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18"/>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18"/>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18"/>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18"/>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18"/>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18"/>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18"/>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1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1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1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1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1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1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1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1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1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1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1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1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1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1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1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1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1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1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1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1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1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1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1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1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1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1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1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1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1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1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1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1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1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1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1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1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7"/>
    <w:uiPriority w:val="99"/>
    <w:unhideWhenUsed/>
    <w:rPr>
      <w:vertAlign w:val="superscript"/>
    </w:rPr>
  </w:style>
  <w:style w:type="paragraph" w:styleId="176">
    <w:name w:val="endnote text"/>
    <w:basedOn w:val="61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7"/>
    <w:uiPriority w:val="99"/>
    <w:semiHidden/>
    <w:unhideWhenUsed/>
    <w:rPr>
      <w:vertAlign w:val="superscript"/>
    </w:rPr>
  </w:style>
  <w:style w:type="paragraph" w:styleId="179">
    <w:name w:val="toc 1"/>
    <w:basedOn w:val="613"/>
    <w:next w:val="613"/>
    <w:uiPriority w:val="39"/>
    <w:unhideWhenUsed/>
    <w:pPr>
      <w:ind w:left="0" w:right="0" w:firstLine="0"/>
      <w:spacing w:after="57"/>
    </w:pPr>
  </w:style>
  <w:style w:type="paragraph" w:styleId="180">
    <w:name w:val="toc 2"/>
    <w:basedOn w:val="613"/>
    <w:next w:val="613"/>
    <w:uiPriority w:val="39"/>
    <w:unhideWhenUsed/>
    <w:pPr>
      <w:ind w:left="283" w:right="0" w:firstLine="0"/>
      <w:spacing w:after="57"/>
    </w:pPr>
  </w:style>
  <w:style w:type="paragraph" w:styleId="181">
    <w:name w:val="toc 3"/>
    <w:basedOn w:val="613"/>
    <w:next w:val="613"/>
    <w:uiPriority w:val="39"/>
    <w:unhideWhenUsed/>
    <w:pPr>
      <w:ind w:left="567" w:right="0" w:firstLine="0"/>
      <w:spacing w:after="57"/>
    </w:pPr>
  </w:style>
  <w:style w:type="paragraph" w:styleId="182">
    <w:name w:val="toc 4"/>
    <w:basedOn w:val="613"/>
    <w:next w:val="613"/>
    <w:uiPriority w:val="39"/>
    <w:unhideWhenUsed/>
    <w:pPr>
      <w:ind w:left="850" w:right="0" w:firstLine="0"/>
      <w:spacing w:after="57"/>
    </w:pPr>
  </w:style>
  <w:style w:type="paragraph" w:styleId="183">
    <w:name w:val="toc 5"/>
    <w:basedOn w:val="613"/>
    <w:next w:val="613"/>
    <w:uiPriority w:val="39"/>
    <w:unhideWhenUsed/>
    <w:pPr>
      <w:ind w:left="1134" w:right="0" w:firstLine="0"/>
      <w:spacing w:after="57"/>
    </w:pPr>
  </w:style>
  <w:style w:type="paragraph" w:styleId="184">
    <w:name w:val="toc 6"/>
    <w:basedOn w:val="613"/>
    <w:next w:val="613"/>
    <w:uiPriority w:val="39"/>
    <w:unhideWhenUsed/>
    <w:pPr>
      <w:ind w:left="1417" w:right="0" w:firstLine="0"/>
      <w:spacing w:after="57"/>
    </w:pPr>
  </w:style>
  <w:style w:type="paragraph" w:styleId="185">
    <w:name w:val="toc 7"/>
    <w:basedOn w:val="613"/>
    <w:next w:val="613"/>
    <w:uiPriority w:val="39"/>
    <w:unhideWhenUsed/>
    <w:pPr>
      <w:ind w:left="1701" w:right="0" w:firstLine="0"/>
      <w:spacing w:after="57"/>
    </w:pPr>
  </w:style>
  <w:style w:type="paragraph" w:styleId="186">
    <w:name w:val="toc 8"/>
    <w:basedOn w:val="613"/>
    <w:next w:val="613"/>
    <w:uiPriority w:val="39"/>
    <w:unhideWhenUsed/>
    <w:pPr>
      <w:ind w:left="1984" w:right="0" w:firstLine="0"/>
      <w:spacing w:after="57"/>
    </w:pPr>
  </w:style>
  <w:style w:type="paragraph" w:styleId="187">
    <w:name w:val="toc 9"/>
    <w:basedOn w:val="613"/>
    <w:next w:val="613"/>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3"/>
    <w:next w:val="613"/>
    <w:uiPriority w:val="99"/>
    <w:unhideWhenUsed/>
    <w:pPr>
      <w:spacing w:after="0" w:afterAutospacing="0"/>
    </w:pPr>
  </w:style>
  <w:style w:type="paragraph" w:styleId="613" w:default="1">
    <w:name w:val="Normal"/>
    <w:qFormat/>
    <w:rPr>
      <w:rFonts w:ascii="Calibri" w:hAnsi="Calibri" w:cs="Calibri"/>
    </w:rPr>
    <w:pPr>
      <w:spacing w:lineRule="auto" w:line="240" w:after="0"/>
    </w:pPr>
  </w:style>
  <w:style w:type="paragraph" w:styleId="614">
    <w:name w:val="Heading 1"/>
    <w:basedOn w:val="613"/>
    <w:next w:val="613"/>
    <w:link w:val="621"/>
    <w:qFormat/>
    <w:uiPriority w:val="9"/>
    <w:rPr>
      <w:rFonts w:asciiTheme="majorHAnsi" w:hAnsiTheme="majorHAnsi" w:eastAsiaTheme="majorEastAsia" w:cstheme="majorBidi"/>
      <w:color w:val="2E74B5" w:themeColor="accent1" w:themeShade="BF"/>
      <w:sz w:val="32"/>
      <w:szCs w:val="32"/>
    </w:rPr>
    <w:pPr>
      <w:keepLines/>
      <w:keepNext/>
      <w:spacing w:before="240"/>
      <w:outlineLvl w:val="0"/>
    </w:pPr>
  </w:style>
  <w:style w:type="paragraph" w:styleId="615">
    <w:name w:val="Heading 2"/>
    <w:basedOn w:val="613"/>
    <w:next w:val="613"/>
    <w:link w:val="622"/>
    <w:qFormat/>
    <w:uiPriority w:val="9"/>
    <w:unhideWhenUsed/>
    <w:rPr>
      <w:rFonts w:asciiTheme="majorHAnsi" w:hAnsiTheme="majorHAnsi" w:eastAsiaTheme="majorEastAsia" w:cstheme="majorBidi"/>
      <w:color w:val="2E74B5" w:themeColor="accent1" w:themeShade="BF"/>
      <w:sz w:val="26"/>
      <w:szCs w:val="26"/>
    </w:rPr>
    <w:pPr>
      <w:keepLines/>
      <w:keepNext/>
      <w:spacing w:before="40"/>
      <w:outlineLvl w:val="1"/>
    </w:pPr>
  </w:style>
  <w:style w:type="paragraph" w:styleId="616">
    <w:name w:val="Heading 3"/>
    <w:basedOn w:val="613"/>
    <w:next w:val="613"/>
    <w:link w:val="625"/>
    <w:qFormat/>
    <w:uiPriority w:val="9"/>
    <w:unhideWhenUsed/>
    <w:rPr>
      <w:rFonts w:asciiTheme="majorHAnsi" w:hAnsiTheme="majorHAnsi" w:eastAsiaTheme="majorEastAsia" w:cstheme="majorBidi"/>
      <w:color w:val="1F4D78" w:themeColor="accent1" w:themeShade="7F"/>
      <w:sz w:val="24"/>
      <w:szCs w:val="24"/>
    </w:rPr>
    <w:pPr>
      <w:keepLines/>
      <w:keepNext/>
      <w:spacing w:before="40"/>
      <w:outlineLvl w:val="2"/>
    </w:pPr>
  </w:style>
  <w:style w:type="character" w:styleId="617" w:default="1">
    <w:name w:val="Default Paragraph Font"/>
    <w:uiPriority w:val="1"/>
    <w:semiHidden/>
    <w:unhideWhenUsed/>
  </w:style>
  <w:style w:type="table" w:styleId="618" w:default="1">
    <w:name w:val="Normal Table"/>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List Paragraph"/>
    <w:basedOn w:val="613"/>
    <w:qFormat/>
    <w:uiPriority w:val="34"/>
    <w:pPr>
      <w:ind w:left="720"/>
    </w:pPr>
  </w:style>
  <w:style w:type="character" w:styleId="621" w:customStyle="1">
    <w:name w:val="Nadpis 1 Char"/>
    <w:basedOn w:val="617"/>
    <w:link w:val="614"/>
    <w:uiPriority w:val="9"/>
    <w:rPr>
      <w:rFonts w:asciiTheme="majorHAnsi" w:hAnsiTheme="majorHAnsi" w:eastAsiaTheme="majorEastAsia" w:cstheme="majorBidi"/>
      <w:color w:val="2E74B5" w:themeColor="accent1" w:themeShade="BF"/>
      <w:sz w:val="32"/>
      <w:szCs w:val="32"/>
    </w:rPr>
  </w:style>
  <w:style w:type="character" w:styleId="622" w:customStyle="1">
    <w:name w:val="Nadpis 2 Char"/>
    <w:basedOn w:val="617"/>
    <w:link w:val="615"/>
    <w:uiPriority w:val="9"/>
    <w:rPr>
      <w:rFonts w:asciiTheme="majorHAnsi" w:hAnsiTheme="majorHAnsi" w:eastAsiaTheme="majorEastAsia" w:cstheme="majorBidi"/>
      <w:color w:val="2E74B5" w:themeColor="accent1" w:themeShade="BF"/>
      <w:sz w:val="26"/>
      <w:szCs w:val="26"/>
    </w:rPr>
  </w:style>
  <w:style w:type="paragraph" w:styleId="623">
    <w:name w:val="Title"/>
    <w:basedOn w:val="613"/>
    <w:next w:val="613"/>
    <w:link w:val="624"/>
    <w:qFormat/>
    <w:uiPriority w:val="10"/>
    <w:rPr>
      <w:rFonts w:asciiTheme="majorHAnsi" w:hAnsiTheme="majorHAnsi" w:eastAsiaTheme="majorEastAsia" w:cstheme="majorBidi"/>
      <w:spacing w:val="-10"/>
      <w:sz w:val="56"/>
      <w:szCs w:val="56"/>
    </w:rPr>
    <w:pPr>
      <w:contextualSpacing w:val="true"/>
    </w:pPr>
  </w:style>
  <w:style w:type="character" w:styleId="624" w:customStyle="1">
    <w:name w:val="Název Char"/>
    <w:basedOn w:val="617"/>
    <w:link w:val="623"/>
    <w:uiPriority w:val="10"/>
    <w:rPr>
      <w:rFonts w:asciiTheme="majorHAnsi" w:hAnsiTheme="majorHAnsi" w:eastAsiaTheme="majorEastAsia" w:cstheme="majorBidi"/>
      <w:spacing w:val="-10"/>
      <w:sz w:val="56"/>
      <w:szCs w:val="56"/>
    </w:rPr>
  </w:style>
  <w:style w:type="character" w:styleId="625" w:customStyle="1">
    <w:name w:val="Nadpis 3 Char"/>
    <w:basedOn w:val="617"/>
    <w:link w:val="616"/>
    <w:uiPriority w:val="9"/>
    <w:rPr>
      <w:rFonts w:asciiTheme="majorHAnsi" w:hAnsiTheme="majorHAnsi" w:eastAsiaTheme="majorEastAsia" w:cstheme="majorBidi"/>
      <w:color w:val="1F4D78" w:themeColor="accent1" w:themeShade="7F"/>
      <w:sz w:val="24"/>
      <w:szCs w:val="24"/>
    </w:rPr>
  </w:style>
  <w:style w:type="paragraph" w:styleId="626">
    <w:name w:val="No Spacing"/>
    <w:qFormat/>
    <w:uiPriority w:val="1"/>
    <w:rPr>
      <w:rFonts w:ascii="Calibri" w:hAnsi="Calibri" w:cs="Calibri"/>
    </w:rPr>
    <w:pPr>
      <w:spacing w:lineRule="auto" w:line="240" w:after="0"/>
    </w:pPr>
  </w:style>
  <w:style w:type="table" w:styleId="627">
    <w:name w:val="Table Grid"/>
    <w:basedOn w:val="618"/>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628">
    <w:name w:val="annotation reference"/>
    <w:basedOn w:val="617"/>
    <w:uiPriority w:val="99"/>
    <w:semiHidden/>
    <w:unhideWhenUsed/>
    <w:rPr>
      <w:sz w:val="16"/>
      <w:szCs w:val="16"/>
    </w:rPr>
  </w:style>
  <w:style w:type="paragraph" w:styleId="629">
    <w:name w:val="annotation text"/>
    <w:basedOn w:val="613"/>
    <w:link w:val="630"/>
    <w:uiPriority w:val="99"/>
    <w:semiHidden/>
    <w:unhideWhenUsed/>
    <w:rPr>
      <w:sz w:val="20"/>
      <w:szCs w:val="20"/>
    </w:rPr>
  </w:style>
  <w:style w:type="character" w:styleId="630" w:customStyle="1">
    <w:name w:val="Text komentáře Char"/>
    <w:basedOn w:val="617"/>
    <w:link w:val="629"/>
    <w:uiPriority w:val="99"/>
    <w:semiHidden/>
    <w:rPr>
      <w:rFonts w:ascii="Calibri" w:hAnsi="Calibri" w:cs="Calibri"/>
      <w:sz w:val="20"/>
      <w:szCs w:val="20"/>
    </w:rPr>
  </w:style>
  <w:style w:type="paragraph" w:styleId="631">
    <w:name w:val="annotation subject"/>
    <w:basedOn w:val="629"/>
    <w:next w:val="629"/>
    <w:link w:val="632"/>
    <w:uiPriority w:val="99"/>
    <w:semiHidden/>
    <w:unhideWhenUsed/>
    <w:rPr>
      <w:b/>
      <w:bCs/>
    </w:rPr>
  </w:style>
  <w:style w:type="character" w:styleId="632" w:customStyle="1">
    <w:name w:val="Předmět komentáře Char"/>
    <w:basedOn w:val="630"/>
    <w:link w:val="631"/>
    <w:uiPriority w:val="99"/>
    <w:semiHidden/>
    <w:rPr>
      <w:rFonts w:ascii="Calibri" w:hAnsi="Calibri" w:cs="Calibri"/>
      <w:b/>
      <w:bCs/>
      <w:sz w:val="20"/>
      <w:szCs w:val="20"/>
    </w:rPr>
  </w:style>
  <w:style w:type="paragraph" w:styleId="633">
    <w:name w:val="Balloon Text"/>
    <w:basedOn w:val="613"/>
    <w:link w:val="634"/>
    <w:uiPriority w:val="99"/>
    <w:semiHidden/>
    <w:unhideWhenUsed/>
    <w:rPr>
      <w:rFonts w:ascii="Segoe UI" w:hAnsi="Segoe UI" w:cs="Segoe UI"/>
      <w:sz w:val="18"/>
      <w:szCs w:val="18"/>
    </w:rPr>
  </w:style>
  <w:style w:type="character" w:styleId="634" w:customStyle="1">
    <w:name w:val="Text bubliny Char"/>
    <w:basedOn w:val="617"/>
    <w:link w:val="633"/>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ONLYOFFICE/6.4.0.121</Application>
  <Company>Krajská správa a údržba silnic středočeského kraje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Aleš</dc:creator>
  <cp:keywords/>
  <dc:description/>
  <cp:lastModifiedBy>Jiří Snížek</cp:lastModifiedBy>
  <cp:revision>3</cp:revision>
  <dcterms:created xsi:type="dcterms:W3CDTF">2021-11-01T08:00:00Z</dcterms:created>
  <dcterms:modified xsi:type="dcterms:W3CDTF">2021-11-12T10:23:48Z</dcterms:modified>
</cp:coreProperties>
</file>