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4"/>
        <w:jc w:val="center"/>
        <w:spacing w:lineRule="auto" w:line="276" w:after="24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P</w:t>
      </w:r>
      <w:bookmarkStart w:id="0" w:name="_GoBack"/>
      <w:r/>
      <w:bookmarkEnd w:id="0"/>
      <w:r>
        <w:rPr>
          <w:sz w:val="40"/>
          <w:szCs w:val="40"/>
          <w:u w:val="single"/>
        </w:rPr>
        <w:t xml:space="preserve">rioritizace</w:t>
      </w:r>
      <w:r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 xml:space="preserve">dopravních staveb</w:t>
      </w:r>
      <w:r/>
    </w:p>
    <w:p>
      <w:p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Účelem prioritizace dopravních staveb, je vytvořit funkční strukturované seznamy akcí</w:t>
      </w:r>
      <w:r>
        <w:rPr>
          <w:color w:val="1F497D"/>
          <w:sz w:val="24"/>
          <w:szCs w:val="24"/>
        </w:rPr>
        <w:t xml:space="preserve">,</w:t>
      </w:r>
      <w:r>
        <w:rPr>
          <w:color w:val="1F497D"/>
          <w:sz w:val="24"/>
          <w:szCs w:val="24"/>
        </w:rPr>
        <w:t xml:space="preserve"> </w:t>
      </w:r>
      <w:r>
        <w:rPr>
          <w:color w:val="1F497D"/>
          <w:sz w:val="24"/>
          <w:szCs w:val="24"/>
        </w:rPr>
        <w:t xml:space="preserve">seřazených dle důležitosti</w:t>
      </w:r>
      <w:r>
        <w:rPr>
          <w:color w:val="1F497D"/>
          <w:sz w:val="24"/>
          <w:szCs w:val="24"/>
        </w:rPr>
        <w:t xml:space="preserve">,</w:t>
      </w:r>
      <w:r>
        <w:rPr>
          <w:color w:val="1F497D"/>
          <w:sz w:val="24"/>
          <w:szCs w:val="24"/>
        </w:rPr>
        <w:t xml:space="preserve"> na základě souhrnu bodového hodnocení vybraných kritérií</w:t>
      </w:r>
      <w:r>
        <w:rPr>
          <w:color w:val="1F497D"/>
          <w:sz w:val="24"/>
          <w:szCs w:val="24"/>
        </w:rPr>
        <w:t xml:space="preserve">. Takto sestavené pořadí </w:t>
      </w:r>
      <w:r>
        <w:rPr>
          <w:color w:val="1F497D"/>
          <w:sz w:val="24"/>
          <w:szCs w:val="24"/>
        </w:rPr>
        <w:t xml:space="preserve">záměrů a projektů dopravních </w:t>
      </w:r>
      <w:r>
        <w:rPr>
          <w:color w:val="1F497D"/>
          <w:sz w:val="24"/>
          <w:szCs w:val="24"/>
        </w:rPr>
        <w:t xml:space="preserve">staveb</w:t>
      </w:r>
      <w:r>
        <w:rPr>
          <w:color w:val="1F497D"/>
          <w:sz w:val="24"/>
          <w:szCs w:val="24"/>
        </w:rPr>
        <w:t xml:space="preserve"> </w:t>
      </w:r>
      <w:r>
        <w:rPr>
          <w:color w:val="1F497D"/>
          <w:sz w:val="24"/>
          <w:szCs w:val="24"/>
        </w:rPr>
        <w:t xml:space="preserve">bud</w:t>
      </w:r>
      <w:r>
        <w:rPr>
          <w:color w:val="1F497D"/>
          <w:sz w:val="24"/>
          <w:szCs w:val="24"/>
        </w:rPr>
        <w:t xml:space="preserve">e</w:t>
      </w:r>
      <w:r>
        <w:rPr>
          <w:color w:val="1F497D"/>
          <w:sz w:val="24"/>
          <w:szCs w:val="24"/>
        </w:rPr>
        <w:t xml:space="preserve"> sloužit jako podklad při </w:t>
      </w:r>
      <w:r>
        <w:rPr>
          <w:color w:val="1F497D"/>
          <w:sz w:val="24"/>
          <w:szCs w:val="24"/>
        </w:rPr>
        <w:t xml:space="preserve">rozhodování o </w:t>
      </w:r>
      <w:r>
        <w:rPr>
          <w:color w:val="1F497D"/>
          <w:sz w:val="24"/>
          <w:szCs w:val="24"/>
        </w:rPr>
        <w:t xml:space="preserve">alokování dostupných investičních prostředků v daném období</w:t>
      </w:r>
      <w:r>
        <w:rPr>
          <w:color w:val="1F497D"/>
          <w:sz w:val="24"/>
          <w:szCs w:val="24"/>
        </w:rPr>
        <w:t xml:space="preserve"> na projekční přípravu (u záměrů) a na realizaci staveb</w:t>
      </w:r>
      <w:r>
        <w:rPr>
          <w:color w:val="1F497D"/>
          <w:sz w:val="24"/>
          <w:szCs w:val="24"/>
        </w:rPr>
        <w:t xml:space="preserve">.</w:t>
      </w:r>
      <w:r/>
    </w:p>
    <w:p>
      <w:p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</w:r>
      <w:r/>
    </w:p>
    <w:p>
      <w:p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Realizaci dopravní stavby, dělíme do pěti fází:</w:t>
      </w:r>
      <w:r/>
    </w:p>
    <w:p>
      <w:pPr>
        <w:pStyle w:val="620"/>
        <w:numPr>
          <w:ilvl w:val="0"/>
          <w:numId w:val="3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Z</w:t>
      </w:r>
      <w:r>
        <w:rPr>
          <w:color w:val="1F497D"/>
          <w:sz w:val="24"/>
          <w:szCs w:val="24"/>
        </w:rPr>
        <w:t xml:space="preserve">áměr</w:t>
      </w:r>
      <w:r>
        <w:rPr>
          <w:color w:val="1F497D"/>
          <w:sz w:val="24"/>
          <w:szCs w:val="24"/>
        </w:rPr>
        <w:t xml:space="preserve"> – podnět </w:t>
      </w:r>
      <w:r>
        <w:rPr>
          <w:color w:val="1F497D"/>
          <w:sz w:val="24"/>
          <w:szCs w:val="24"/>
        </w:rPr>
        <w:t xml:space="preserve">primárně ze systému CLEVERA </w:t>
      </w:r>
      <w:r>
        <w:rPr>
          <w:color w:val="1F497D"/>
          <w:sz w:val="24"/>
          <w:szCs w:val="24"/>
        </w:rPr>
        <w:t xml:space="preserve">k zadání projekční přípravy</w:t>
      </w:r>
      <w:r>
        <w:rPr>
          <w:color w:val="1F497D"/>
          <w:sz w:val="24"/>
          <w:szCs w:val="24"/>
        </w:rPr>
        <w:t xml:space="preserve">, schválený vedoucím příslušné oblasti KSÚS.</w:t>
      </w:r>
      <w:r/>
    </w:p>
    <w:p>
      <w:pPr>
        <w:pStyle w:val="620"/>
        <w:numPr>
          <w:ilvl w:val="0"/>
          <w:numId w:val="3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v</w:t>
      </w:r>
      <w:r>
        <w:rPr>
          <w:color w:val="1F497D"/>
          <w:sz w:val="24"/>
          <w:szCs w:val="24"/>
        </w:rPr>
        <w:t xml:space="preserve"> </w:t>
      </w:r>
      <w:r>
        <w:rPr>
          <w:color w:val="1F497D"/>
          <w:sz w:val="24"/>
          <w:szCs w:val="24"/>
        </w:rPr>
        <w:t xml:space="preserve">přípravě</w:t>
      </w:r>
      <w:r>
        <w:rPr>
          <w:color w:val="1F497D"/>
          <w:sz w:val="24"/>
          <w:szCs w:val="24"/>
        </w:rPr>
        <w:t xml:space="preserve"> – dopravní stavba má zhotovitele kompletní projektové dokumentace a inženýrské činnosti</w:t>
      </w:r>
      <w:r>
        <w:rPr>
          <w:color w:val="1F497D"/>
          <w:sz w:val="24"/>
          <w:szCs w:val="24"/>
        </w:rPr>
        <w:t xml:space="preserve">, </w:t>
      </w:r>
      <w:r>
        <w:rPr>
          <w:color w:val="1F497D"/>
          <w:sz w:val="24"/>
          <w:szCs w:val="24"/>
        </w:rPr>
        <w:t xml:space="preserve">pracuje se na</w:t>
      </w:r>
      <w:r>
        <w:rPr>
          <w:color w:val="1F497D"/>
          <w:sz w:val="24"/>
          <w:szCs w:val="24"/>
        </w:rPr>
        <w:t xml:space="preserve"> získání potřebných povolení a stanovisek</w:t>
      </w:r>
      <w:r>
        <w:rPr>
          <w:color w:val="1F497D"/>
          <w:sz w:val="24"/>
          <w:szCs w:val="24"/>
        </w:rPr>
        <w:t xml:space="preserve">.</w:t>
      </w:r>
      <w:r/>
    </w:p>
    <w:p>
      <w:pPr>
        <w:pStyle w:val="620"/>
        <w:numPr>
          <w:ilvl w:val="0"/>
          <w:numId w:val="3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připraveno</w:t>
      </w:r>
      <w:r>
        <w:rPr>
          <w:color w:val="1F497D"/>
          <w:sz w:val="24"/>
          <w:szCs w:val="24"/>
        </w:rPr>
        <w:t xml:space="preserve"> – dopravní stavba je povolena stavební</w:t>
      </w:r>
      <w:r>
        <w:rPr>
          <w:color w:val="1F497D"/>
          <w:sz w:val="24"/>
          <w:szCs w:val="24"/>
        </w:rPr>
        <w:t xml:space="preserve">m úřadem, disponuje projektovou dokumentací pro provádění stavby a rozpočtem, probíhá či se připravuje tendr na zhotovitele stavby a TDS + BOZP. Pokud je na stavbu možné čerpat spolufinancování, primárně v této fázi dochází k registraci u dotačního orgánu.</w:t>
      </w:r>
      <w:r/>
    </w:p>
    <w:p>
      <w:pPr>
        <w:pStyle w:val="620"/>
        <w:numPr>
          <w:ilvl w:val="0"/>
          <w:numId w:val="3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v</w:t>
      </w:r>
      <w:r>
        <w:rPr>
          <w:color w:val="1F497D"/>
          <w:sz w:val="24"/>
          <w:szCs w:val="24"/>
        </w:rPr>
        <w:t xml:space="preserve"> </w:t>
      </w:r>
      <w:r>
        <w:rPr>
          <w:color w:val="1F497D"/>
          <w:sz w:val="24"/>
          <w:szCs w:val="24"/>
        </w:rPr>
        <w:t xml:space="preserve">realizaci</w:t>
      </w:r>
      <w:r>
        <w:rPr>
          <w:color w:val="1F497D"/>
          <w:sz w:val="24"/>
          <w:szCs w:val="24"/>
        </w:rPr>
        <w:t xml:space="preserve"> – na dopravní stavbu je uzavřena smlouva se zhotovitelem stavebních prací a TDS+BOZP. Subjekty byly vyzvány k zahájení činnosti. Probíhá zhotovení stavby. </w:t>
      </w:r>
      <w:r>
        <w:rPr>
          <w:color w:val="1F497D"/>
          <w:sz w:val="24"/>
          <w:szCs w:val="24"/>
        </w:rPr>
        <w:t xml:space="preserve">Pok</w:t>
      </w:r>
      <w:r>
        <w:rPr>
          <w:color w:val="1F497D"/>
          <w:sz w:val="24"/>
          <w:szCs w:val="24"/>
        </w:rPr>
        <w:t xml:space="preserve">ud je stavba financována z vlastních zdrojů, nebo má spolufinancování a naskytne se možnost výhodnějšího podílu na spolufinancování z dotačního orgánu, může dojít k registraci i ve fázi realizace stavby, dle podmínek příslušné dotace. Není to častý případ.</w:t>
      </w:r>
      <w:r/>
    </w:p>
    <w:p>
      <w:pPr>
        <w:pStyle w:val="620"/>
        <w:numPr>
          <w:ilvl w:val="0"/>
          <w:numId w:val="3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Z</w:t>
      </w:r>
      <w:r>
        <w:rPr>
          <w:color w:val="1F497D"/>
          <w:sz w:val="24"/>
          <w:szCs w:val="24"/>
        </w:rPr>
        <w:t xml:space="preserve">realizováno</w:t>
      </w:r>
      <w:r>
        <w:rPr>
          <w:color w:val="1F497D"/>
          <w:sz w:val="24"/>
          <w:szCs w:val="24"/>
        </w:rPr>
        <w:t xml:space="preserve"> – stavba je zkolaudována a jsou vypořádány všechny finanční závazky se zhotoviteli a poskytovateli služeb</w:t>
      </w:r>
      <w:r>
        <w:rPr>
          <w:color w:val="1F497D"/>
          <w:sz w:val="24"/>
          <w:szCs w:val="24"/>
        </w:rPr>
        <w:t xml:space="preserve">.</w:t>
      </w:r>
      <w:r/>
    </w:p>
    <w:p>
      <w:p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</w:r>
      <w:r/>
    </w:p>
    <w:p>
      <w:p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Prioritizace se týká dopravních staveb, které jsou ve fázi</w:t>
      </w:r>
      <w:r>
        <w:rPr>
          <w:color w:val="1F497D"/>
          <w:sz w:val="24"/>
          <w:szCs w:val="24"/>
        </w:rPr>
        <w:t xml:space="preserve"> </w:t>
      </w:r>
      <w:r>
        <w:rPr>
          <w:b/>
          <w:bCs/>
          <w:i/>
          <w:iCs/>
          <w:color w:val="1F497D"/>
          <w:sz w:val="24"/>
          <w:szCs w:val="24"/>
        </w:rPr>
        <w:t xml:space="preserve">1) </w:t>
      </w:r>
      <w:r>
        <w:rPr>
          <w:b/>
          <w:bCs/>
          <w:i/>
          <w:iCs/>
          <w:color w:val="1F497D"/>
          <w:sz w:val="24"/>
          <w:szCs w:val="24"/>
        </w:rPr>
        <w:t xml:space="preserve">záměr,</w:t>
      </w:r>
      <w:r>
        <w:rPr>
          <w:b/>
          <w:bCs/>
          <w:i/>
          <w:iCs/>
          <w:color w:val="1F497D"/>
          <w:sz w:val="24"/>
          <w:szCs w:val="24"/>
        </w:rPr>
        <w:t xml:space="preserve"> </w:t>
      </w:r>
      <w:r>
        <w:rPr>
          <w:b/>
          <w:bCs/>
          <w:i/>
          <w:iCs/>
          <w:color w:val="1F497D"/>
          <w:sz w:val="24"/>
          <w:szCs w:val="24"/>
        </w:rPr>
        <w:t xml:space="preserve">2) </w:t>
      </w:r>
      <w:r>
        <w:rPr>
          <w:b/>
          <w:i/>
          <w:color w:val="1F497D"/>
          <w:sz w:val="24"/>
          <w:szCs w:val="24"/>
        </w:rPr>
        <w:t xml:space="preserve">v přípravě</w:t>
      </w:r>
      <w:r>
        <w:rPr>
          <w:color w:val="1F497D"/>
          <w:sz w:val="24"/>
          <w:szCs w:val="24"/>
        </w:rPr>
        <w:t xml:space="preserve"> a </w:t>
      </w:r>
      <w:r>
        <w:rPr>
          <w:b/>
          <w:i/>
          <w:color w:val="1F497D"/>
          <w:sz w:val="24"/>
          <w:szCs w:val="24"/>
        </w:rPr>
        <w:t xml:space="preserve">připraveno</w:t>
      </w:r>
      <w:r>
        <w:rPr>
          <w:color w:val="1F497D"/>
          <w:sz w:val="24"/>
          <w:szCs w:val="24"/>
        </w:rPr>
        <w:t xml:space="preserve">, ale ještě nebyly předány do realizace.</w:t>
      </w:r>
      <w:r>
        <w:rPr>
          <w:color w:val="1F497D"/>
          <w:sz w:val="24"/>
          <w:szCs w:val="24"/>
        </w:rPr>
        <w:t xml:space="preserve"> Stavby ve fázi </w:t>
      </w:r>
      <w:r>
        <w:rPr>
          <w:i/>
          <w:color w:val="1F497D"/>
          <w:sz w:val="24"/>
          <w:szCs w:val="24"/>
        </w:rPr>
        <w:t xml:space="preserve">realizace</w:t>
      </w:r>
      <w:r>
        <w:rPr>
          <w:color w:val="1F497D"/>
          <w:sz w:val="24"/>
          <w:szCs w:val="24"/>
        </w:rPr>
        <w:t xml:space="preserve"> již mají zajištěny finanční prostředky, proto není třeba je prioritizovat. </w:t>
      </w:r>
      <w:r>
        <w:rPr>
          <w:color w:val="1F497D"/>
          <w:sz w:val="24"/>
          <w:szCs w:val="24"/>
        </w:rPr>
        <w:t xml:space="preserve">Stejně tak nemá smysl řadit dle kritérií již </w:t>
      </w:r>
      <w:r>
        <w:rPr>
          <w:color w:val="1F497D"/>
          <w:sz w:val="24"/>
          <w:szCs w:val="24"/>
        </w:rPr>
        <w:t xml:space="preserve">z</w:t>
      </w:r>
      <w:r>
        <w:rPr>
          <w:i/>
          <w:iCs/>
          <w:color w:val="1F497D"/>
          <w:sz w:val="24"/>
          <w:szCs w:val="24"/>
        </w:rPr>
        <w:t xml:space="preserve">realizované</w:t>
      </w:r>
      <w:r>
        <w:rPr>
          <w:color w:val="1F497D"/>
          <w:sz w:val="24"/>
          <w:szCs w:val="24"/>
        </w:rPr>
        <w:t xml:space="preserve"> stavby</w:t>
      </w:r>
      <w:r>
        <w:rPr>
          <w:color w:val="1F497D"/>
          <w:sz w:val="24"/>
          <w:szCs w:val="24"/>
        </w:rPr>
        <w:t xml:space="preserve">.</w:t>
      </w:r>
      <w:r/>
    </w:p>
    <w:p>
      <w:p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</w:r>
      <w:r/>
    </w:p>
    <w:p>
      <w:pPr>
        <w:jc w:val="both"/>
        <w:spacing w:lineRule="auto" w:line="276"/>
        <w:rPr>
          <w:color w:val="1F497D"/>
          <w:sz w:val="24"/>
          <w:szCs w:val="24"/>
        </w:rPr>
      </w:pPr>
      <w:r>
        <w:rPr>
          <w:b/>
          <w:bCs/>
          <w:color w:val="1F497D"/>
          <w:sz w:val="24"/>
          <w:szCs w:val="24"/>
        </w:rPr>
        <w:t xml:space="preserve">Cílem je vytvořit transparentní pořadí investic</w:t>
      </w:r>
      <w:r>
        <w:rPr>
          <w:color w:val="1F497D"/>
          <w:sz w:val="24"/>
          <w:szCs w:val="24"/>
        </w:rPr>
        <w:t xml:space="preserve">, u něhož bude možné dohledat objektivní </w:t>
      </w:r>
      <w:r>
        <w:rPr>
          <w:color w:val="1F497D"/>
          <w:sz w:val="24"/>
          <w:szCs w:val="24"/>
        </w:rPr>
        <w:t xml:space="preserve">para</w:t>
      </w:r>
      <w:r>
        <w:rPr>
          <w:color w:val="1F497D"/>
          <w:sz w:val="24"/>
          <w:szCs w:val="24"/>
        </w:rPr>
        <w:t xml:space="preserve">metry. Jde o to zavést v investiční činnosti v oblasti silnic dlouhodobě udržitelné a spravedlivé postupy. Stanovený systém parametrů má rovněž předcházet spekulacím o možném zákulisním ovlivňování a protekčním „přeskakování“ jednotlivých staveb a záměrů. </w:t>
      </w:r>
      <w:r/>
    </w:p>
    <w:p>
      <w:p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</w:r>
      <w:r/>
    </w:p>
    <w:p>
      <w:p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Výběr </w:t>
      </w:r>
      <w:r>
        <w:rPr>
          <w:b/>
          <w:bCs/>
          <w:i/>
          <w:iCs/>
          <w:color w:val="1F497D"/>
          <w:sz w:val="24"/>
          <w:szCs w:val="24"/>
        </w:rPr>
        <w:t xml:space="preserve">záměrů</w:t>
      </w:r>
      <w:r>
        <w:rPr>
          <w:color w:val="1F497D"/>
          <w:sz w:val="24"/>
          <w:szCs w:val="24"/>
        </w:rPr>
        <w:t xml:space="preserve"> dopravních investičních akc</w:t>
      </w:r>
      <w:r>
        <w:rPr>
          <w:color w:val="1F497D"/>
          <w:sz w:val="24"/>
          <w:szCs w:val="24"/>
        </w:rPr>
        <w:t xml:space="preserve">í</w:t>
      </w:r>
      <w:r>
        <w:rPr>
          <w:color w:val="1F497D"/>
          <w:sz w:val="24"/>
          <w:szCs w:val="24"/>
        </w:rPr>
        <w:t xml:space="preserve"> pro zadání projekční přípravy</w:t>
      </w:r>
      <w:r>
        <w:rPr>
          <w:color w:val="1F497D"/>
          <w:sz w:val="24"/>
          <w:szCs w:val="24"/>
        </w:rPr>
        <w:t xml:space="preserve"> </w:t>
      </w:r>
      <w:r>
        <w:rPr>
          <w:color w:val="1F497D"/>
          <w:sz w:val="24"/>
          <w:szCs w:val="24"/>
        </w:rPr>
        <w:t xml:space="preserve">bude </w:t>
      </w:r>
      <w:r>
        <w:rPr>
          <w:color w:val="1F497D"/>
          <w:sz w:val="24"/>
          <w:szCs w:val="24"/>
        </w:rPr>
        <w:t xml:space="preserve">prováděn </w:t>
      </w:r>
      <w:r>
        <w:rPr>
          <w:color w:val="1F497D"/>
          <w:sz w:val="24"/>
          <w:szCs w:val="24"/>
        </w:rPr>
        <w:t xml:space="preserve">na základě stavu komunikace dle systému CLEVERA</w:t>
      </w:r>
      <w:r>
        <w:rPr>
          <w:color w:val="1F497D"/>
          <w:sz w:val="24"/>
          <w:szCs w:val="24"/>
        </w:rPr>
        <w:t xml:space="preserve">,</w:t>
      </w:r>
      <w:r>
        <w:rPr>
          <w:color w:val="1F497D"/>
          <w:sz w:val="24"/>
          <w:szCs w:val="24"/>
        </w:rPr>
        <w:t xml:space="preserve"> nebo stavu mostního objektu dle systému BMS, dále na základě podnětu příslušného cestmistra nebo mostního technika s přihlédnutím k podnět</w:t>
      </w:r>
      <w:r>
        <w:rPr>
          <w:color w:val="1F497D"/>
          <w:sz w:val="24"/>
          <w:szCs w:val="24"/>
        </w:rPr>
        <w:t xml:space="preserve">ům</w:t>
      </w:r>
      <w:r>
        <w:rPr>
          <w:color w:val="1F497D"/>
          <w:sz w:val="24"/>
          <w:szCs w:val="24"/>
        </w:rPr>
        <w:t xml:space="preserve"> ze strany starostů či občanů nebo jiných subjektů (např. dopravní polic</w:t>
      </w:r>
      <w:r>
        <w:rPr>
          <w:color w:val="1F497D"/>
          <w:sz w:val="24"/>
          <w:szCs w:val="24"/>
        </w:rPr>
        <w:t xml:space="preserve">ie u </w:t>
      </w:r>
      <w:r>
        <w:rPr>
          <w:color w:val="1F497D"/>
          <w:sz w:val="24"/>
          <w:szCs w:val="24"/>
        </w:rPr>
        <w:t xml:space="preserve">bodových závad a podobně). Návrh takového podnětu bude</w:t>
      </w:r>
      <w:r>
        <w:rPr>
          <w:color w:val="1F497D"/>
          <w:sz w:val="24"/>
          <w:szCs w:val="24"/>
        </w:rPr>
        <w:t xml:space="preserve"> </w:t>
      </w:r>
      <w:r>
        <w:rPr>
          <w:b/>
          <w:color w:val="1F497D"/>
          <w:sz w:val="24"/>
          <w:szCs w:val="24"/>
        </w:rPr>
        <w:t xml:space="preserve">vždy odsouhlasen</w:t>
      </w:r>
      <w:r>
        <w:rPr>
          <w:b/>
          <w:color w:val="1F497D"/>
          <w:sz w:val="24"/>
          <w:szCs w:val="24"/>
        </w:rPr>
        <w:t xml:space="preserve">,</w:t>
      </w:r>
      <w:r>
        <w:rPr>
          <w:b/>
          <w:color w:val="1F497D"/>
          <w:sz w:val="24"/>
          <w:szCs w:val="24"/>
        </w:rPr>
        <w:t xml:space="preserve"> nebo zamítnut vedoucím příslušné oblasti</w:t>
      </w:r>
      <w:r>
        <w:rPr>
          <w:color w:val="1F497D"/>
          <w:sz w:val="24"/>
          <w:szCs w:val="24"/>
        </w:rPr>
        <w:t xml:space="preserve"> (Kutná Hora, Kladno, Mnichovo Hradiště, Benešov), jenž má na starosti provozní i </w:t>
      </w:r>
      <w:r>
        <w:rPr>
          <w:color w:val="1F497D"/>
          <w:sz w:val="24"/>
          <w:szCs w:val="24"/>
        </w:rPr>
        <w:t xml:space="preserve">technicko-správní</w:t>
      </w:r>
      <w:r>
        <w:rPr>
          <w:color w:val="1F497D"/>
          <w:sz w:val="24"/>
          <w:szCs w:val="24"/>
        </w:rPr>
        <w:t xml:space="preserve"> úsek, </w:t>
      </w:r>
      <w:r>
        <w:rPr>
          <w:b/>
          <w:color w:val="1F497D"/>
          <w:sz w:val="24"/>
          <w:szCs w:val="24"/>
        </w:rPr>
        <w:t xml:space="preserve">v případě mostního objektu vedoucího mostních techniků</w:t>
      </w:r>
      <w:r>
        <w:rPr>
          <w:color w:val="1F497D"/>
          <w:sz w:val="24"/>
          <w:szCs w:val="24"/>
        </w:rPr>
        <w:t xml:space="preserve">.</w:t>
      </w:r>
      <w:r>
        <w:rPr>
          <w:color w:val="1F497D"/>
          <w:sz w:val="24"/>
          <w:szCs w:val="24"/>
        </w:rPr>
        <w:t xml:space="preserve"> </w:t>
      </w:r>
      <w:r>
        <w:rPr>
          <w:color w:val="1F497D"/>
          <w:sz w:val="24"/>
          <w:szCs w:val="24"/>
        </w:rPr>
        <w:t xml:space="preserve">Takto určené záměry projedná rada kraje a n</w:t>
      </w:r>
      <w:r>
        <w:rPr>
          <w:color w:val="1F497D"/>
          <w:sz w:val="24"/>
          <w:szCs w:val="24"/>
        </w:rPr>
        <w:t xml:space="preserve">ásledně dojde k obodování a případnému zadání projekční přípravy buď na příslušné oblasti nebo přes Oblast investic KSÚS.</w:t>
      </w:r>
      <w:r/>
    </w:p>
    <w:p>
      <w:p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</w:r>
      <w:r/>
    </w:p>
    <w:p>
      <w:p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U fáze </w:t>
      </w:r>
      <w:r>
        <w:rPr>
          <w:b/>
          <w:color w:val="1F497D"/>
          <w:sz w:val="24"/>
          <w:szCs w:val="24"/>
        </w:rPr>
        <w:t xml:space="preserve">záměr</w:t>
      </w:r>
      <w:r>
        <w:rPr>
          <w:color w:val="1F497D"/>
          <w:sz w:val="24"/>
          <w:szCs w:val="24"/>
        </w:rPr>
        <w:t xml:space="preserve"> navrhujeme systém, kdy přicházející záměry </w:t>
      </w:r>
      <w:r>
        <w:rPr>
          <w:color w:val="1F497D"/>
          <w:sz w:val="24"/>
          <w:szCs w:val="24"/>
        </w:rPr>
        <w:t xml:space="preserve">a podněty </w:t>
      </w:r>
      <w:r>
        <w:rPr>
          <w:color w:val="1F497D"/>
          <w:sz w:val="24"/>
          <w:szCs w:val="24"/>
        </w:rPr>
        <w:t xml:space="preserve">budou evidovány, obodovány dle navržené prioritizace s tím rozdílem</w:t>
      </w:r>
      <w:r>
        <w:rPr>
          <w:color w:val="1F497D"/>
          <w:sz w:val="24"/>
          <w:szCs w:val="24"/>
        </w:rPr>
        <w:t xml:space="preserve"> oproti fázi </w:t>
      </w:r>
      <w:r>
        <w:rPr>
          <w:b/>
          <w:color w:val="1F497D"/>
          <w:sz w:val="24"/>
          <w:szCs w:val="24"/>
        </w:rPr>
        <w:t xml:space="preserve">v přípravě</w:t>
      </w:r>
      <w:r>
        <w:rPr>
          <w:color w:val="1F497D"/>
          <w:sz w:val="24"/>
          <w:szCs w:val="24"/>
        </w:rPr>
        <w:t xml:space="preserve"> a </w:t>
      </w:r>
      <w:r>
        <w:rPr>
          <w:b/>
          <w:color w:val="1F497D"/>
          <w:sz w:val="24"/>
          <w:szCs w:val="24"/>
        </w:rPr>
        <w:t xml:space="preserve">připraveno</w:t>
      </w:r>
      <w:r>
        <w:rPr>
          <w:color w:val="1F497D"/>
          <w:sz w:val="24"/>
          <w:szCs w:val="24"/>
        </w:rPr>
        <w:t xml:space="preserve">, že u stavu přípravy a spolufinancování bude paušálně uvedeno 0 bodů.</w:t>
      </w:r>
      <w:r/>
    </w:p>
    <w:p>
      <w:p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</w:r>
      <w:r/>
    </w:p>
    <w:p>
      <w:p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Počet záměrů, přecházejících do fáze </w:t>
      </w:r>
      <w:r>
        <w:rPr>
          <w:b/>
          <w:color w:val="1F497D"/>
          <w:sz w:val="24"/>
          <w:szCs w:val="24"/>
        </w:rPr>
        <w:t xml:space="preserve">v přípravě</w:t>
      </w:r>
      <w:r>
        <w:rPr>
          <w:color w:val="1F497D"/>
          <w:sz w:val="24"/>
          <w:szCs w:val="24"/>
        </w:rPr>
        <w:t xml:space="preserve"> z fáze </w:t>
      </w:r>
      <w:r>
        <w:rPr>
          <w:b/>
          <w:color w:val="1F497D"/>
          <w:sz w:val="24"/>
          <w:szCs w:val="24"/>
        </w:rPr>
        <w:t xml:space="preserve">záměr</w:t>
      </w:r>
      <w:r>
        <w:rPr>
          <w:b/>
          <w:color w:val="1F497D"/>
          <w:sz w:val="24"/>
          <w:szCs w:val="24"/>
        </w:rPr>
        <w:t xml:space="preserve">,</w:t>
      </w:r>
      <w:r>
        <w:rPr>
          <w:color w:val="1F497D"/>
          <w:sz w:val="24"/>
          <w:szCs w:val="24"/>
        </w:rPr>
        <w:t xml:space="preserve"> bude závislý na finančních prostředcích alokovaných pro daný rok na projekční přípravu dopravních staveb na KSÚS a na Kraji.</w:t>
      </w:r>
      <w:r/>
    </w:p>
    <w:p>
      <w:p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</w:r>
      <w:r/>
    </w:p>
    <w:p>
      <w:p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V souvislosti s výše uvedeným, vzniknou v praxi </w:t>
      </w:r>
      <w:r>
        <w:rPr>
          <w:b/>
          <w:color w:val="1F497D"/>
          <w:sz w:val="24"/>
          <w:szCs w:val="24"/>
        </w:rPr>
        <w:t xml:space="preserve">dva obodované zásobníky:</w:t>
      </w:r>
      <w:r/>
    </w:p>
    <w:p>
      <w:pPr>
        <w:pStyle w:val="620"/>
        <w:numPr>
          <w:ilvl w:val="0"/>
          <w:numId w:val="8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 xml:space="preserve">zásobník záměrů</w:t>
      </w:r>
      <w:r>
        <w:rPr>
          <w:color w:val="1F497D"/>
          <w:sz w:val="24"/>
          <w:szCs w:val="24"/>
        </w:rPr>
        <w:t xml:space="preserve">, které ještě nepřešl</w:t>
      </w:r>
      <w:r>
        <w:rPr>
          <w:color w:val="1F497D"/>
          <w:sz w:val="24"/>
          <w:szCs w:val="24"/>
        </w:rPr>
        <w:t xml:space="preserve">y</w:t>
      </w:r>
      <w:r>
        <w:rPr>
          <w:color w:val="1F497D"/>
          <w:sz w:val="24"/>
          <w:szCs w:val="24"/>
        </w:rPr>
        <w:t xml:space="preserve"> z fáze záměr do fáze v přípravě;</w:t>
      </w:r>
      <w:r/>
    </w:p>
    <w:p>
      <w:pPr>
        <w:pStyle w:val="620"/>
        <w:numPr>
          <w:ilvl w:val="0"/>
          <w:numId w:val="8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 xml:space="preserve">zásobník akcí v přípravě a připraveno</w:t>
      </w:r>
      <w:r>
        <w:rPr>
          <w:color w:val="1F497D"/>
          <w:sz w:val="24"/>
          <w:szCs w:val="24"/>
        </w:rPr>
        <w:t xml:space="preserve">, kdy z podstaty systému bodování budou nejvýše záměry připravené a bude se pro ně hledat financování tak, aby mohl</w:t>
      </w:r>
      <w:r>
        <w:rPr>
          <w:color w:val="1F497D"/>
          <w:sz w:val="24"/>
          <w:szCs w:val="24"/>
        </w:rPr>
        <w:t xml:space="preserve">y</w:t>
      </w:r>
      <w:r>
        <w:rPr>
          <w:color w:val="1F497D"/>
          <w:sz w:val="24"/>
          <w:szCs w:val="24"/>
        </w:rPr>
        <w:t xml:space="preserve"> přejít do fáze realizace.</w:t>
      </w:r>
      <w:r/>
    </w:p>
    <w:p>
      <w:p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</w:r>
      <w:r/>
    </w:p>
    <w:p>
      <w:p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Výchozím podkladem, pro návrh systému prioritizace dopravních staveb, byl metodický postup pro</w:t>
      </w:r>
      <w:r>
        <w:rPr>
          <w:color w:val="1F497D"/>
          <w:sz w:val="24"/>
          <w:szCs w:val="24"/>
        </w:rPr>
        <w:t xml:space="preserve"> </w:t>
      </w:r>
      <w:r>
        <w:rPr>
          <w:i/>
          <w:color w:val="1F497D"/>
          <w:sz w:val="24"/>
          <w:szCs w:val="24"/>
        </w:rPr>
        <w:t xml:space="preserve">multik</w:t>
      </w:r>
      <w:r>
        <w:rPr>
          <w:i/>
          <w:color w:val="1F497D"/>
          <w:sz w:val="24"/>
          <w:szCs w:val="24"/>
        </w:rPr>
        <w:t xml:space="preserve">riteriální hodnocení</w:t>
      </w:r>
      <w:r>
        <w:rPr>
          <w:color w:val="1F497D"/>
          <w:sz w:val="24"/>
          <w:szCs w:val="24"/>
        </w:rPr>
        <w:t xml:space="preserve"> akcí, financovaných ze </w:t>
      </w:r>
      <w:r>
        <w:rPr>
          <w:i/>
          <w:color w:val="1F497D"/>
          <w:sz w:val="24"/>
          <w:szCs w:val="24"/>
        </w:rPr>
        <w:t xml:space="preserve">Státního fondu dopravní infrastruktury</w:t>
      </w:r>
      <w:r>
        <w:rPr>
          <w:i/>
          <w:color w:val="1F497D"/>
          <w:sz w:val="24"/>
          <w:szCs w:val="24"/>
        </w:rPr>
        <w:t xml:space="preserve">, </w:t>
      </w:r>
      <w:r>
        <w:rPr>
          <w:color w:val="1F497D"/>
          <w:sz w:val="24"/>
          <w:szCs w:val="24"/>
        </w:rPr>
        <w:t xml:space="preserve">který KSÚS běžně používá již několik let. Nově navržený systém sloužící pro po</w:t>
      </w:r>
      <w:r>
        <w:rPr>
          <w:color w:val="1F497D"/>
          <w:sz w:val="24"/>
          <w:szCs w:val="24"/>
        </w:rPr>
        <w:t xml:space="preserve">třeby Středočeské</w:t>
      </w:r>
      <w:r>
        <w:rPr>
          <w:color w:val="1F497D"/>
          <w:sz w:val="24"/>
          <w:szCs w:val="24"/>
        </w:rPr>
        <w:t xml:space="preserve">ho kraje byl oproštěn o některá</w:t>
      </w:r>
      <w:r>
        <w:rPr>
          <w:color w:val="1F497D"/>
          <w:sz w:val="24"/>
          <w:szCs w:val="24"/>
        </w:rPr>
        <w:t xml:space="preserve"> kritéria a každé kritérium opatřeno koeficientem</w:t>
      </w:r>
      <w:r>
        <w:rPr>
          <w:color w:val="1F497D"/>
          <w:sz w:val="24"/>
          <w:szCs w:val="24"/>
        </w:rPr>
        <w:t xml:space="preserve">. Následně byly tyto vstupy nadefinovány do tabulky.</w:t>
      </w:r>
      <w:r/>
    </w:p>
    <w:p>
      <w:p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</w:r>
      <w:r/>
    </w:p>
    <w:p>
      <w:p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Jelikož není možné, porovnávat mezi sebou všechny dopravní stavby, kvůli jejich odlišnému předmětu plnění, jsou akce </w:t>
      </w:r>
      <w:r>
        <w:rPr>
          <w:color w:val="1F497D"/>
          <w:sz w:val="24"/>
          <w:szCs w:val="24"/>
        </w:rPr>
        <w:t xml:space="preserve">rozděl</w:t>
      </w:r>
      <w:r>
        <w:rPr>
          <w:color w:val="1F497D"/>
          <w:sz w:val="24"/>
          <w:szCs w:val="24"/>
        </w:rPr>
        <w:t xml:space="preserve">eny do čtyř základních kategorií dle druhu dopravních staveb:</w:t>
      </w:r>
      <w:r/>
    </w:p>
    <w:p>
      <w:pPr>
        <w:pStyle w:val="620"/>
        <w:numPr>
          <w:ilvl w:val="0"/>
          <w:numId w:val="1"/>
        </w:numPr>
        <w:jc w:val="both"/>
        <w:spacing w:lineRule="auto" w:line="276"/>
        <w:rPr>
          <w:b/>
          <w:bCs/>
          <w:color w:val="1F497D"/>
          <w:sz w:val="24"/>
          <w:szCs w:val="24"/>
        </w:rPr>
      </w:pPr>
      <w:r>
        <w:rPr>
          <w:b/>
          <w:bCs/>
          <w:color w:val="1F497D"/>
          <w:sz w:val="24"/>
          <w:szCs w:val="24"/>
        </w:rPr>
        <w:t xml:space="preserve">opravy a rekonstrukce silnic</w:t>
      </w:r>
      <w:r/>
    </w:p>
    <w:p>
      <w:pPr>
        <w:pStyle w:val="620"/>
        <w:numPr>
          <w:ilvl w:val="0"/>
          <w:numId w:val="1"/>
        </w:numPr>
        <w:jc w:val="both"/>
        <w:spacing w:lineRule="auto" w:line="276"/>
        <w:rPr>
          <w:b/>
          <w:bCs/>
          <w:color w:val="1F497D"/>
          <w:sz w:val="24"/>
          <w:szCs w:val="24"/>
        </w:rPr>
      </w:pPr>
      <w:r>
        <w:rPr>
          <w:b/>
          <w:bCs/>
          <w:color w:val="1F497D"/>
          <w:sz w:val="24"/>
          <w:szCs w:val="24"/>
        </w:rPr>
        <w:t xml:space="preserve">mostní objekty a propustky</w:t>
      </w:r>
      <w:r/>
    </w:p>
    <w:p>
      <w:pPr>
        <w:pStyle w:val="620"/>
        <w:numPr>
          <w:ilvl w:val="0"/>
          <w:numId w:val="1"/>
        </w:numPr>
        <w:jc w:val="both"/>
        <w:spacing w:lineRule="auto" w:line="276"/>
        <w:rPr>
          <w:b/>
          <w:bCs/>
          <w:color w:val="1F497D"/>
          <w:sz w:val="24"/>
          <w:szCs w:val="24"/>
        </w:rPr>
      </w:pPr>
      <w:r>
        <w:rPr>
          <w:b/>
          <w:bCs/>
          <w:color w:val="1F497D"/>
          <w:sz w:val="24"/>
          <w:szCs w:val="24"/>
        </w:rPr>
        <w:t xml:space="preserve">řešení bodové závady a/nebo bezpečnostního rizika (okružní či jiné křižovatky, rizikové zatáčky, opěrné zdi, skalní masivy, překážky, apod.)</w:t>
      </w:r>
      <w:r/>
    </w:p>
    <w:p>
      <w:pPr>
        <w:pStyle w:val="620"/>
        <w:numPr>
          <w:ilvl w:val="0"/>
          <w:numId w:val="1"/>
        </w:numPr>
        <w:jc w:val="both"/>
        <w:spacing w:lineRule="auto" w:line="276"/>
        <w:rPr>
          <w:b/>
          <w:bCs/>
          <w:color w:val="1F497D"/>
          <w:sz w:val="24"/>
          <w:szCs w:val="24"/>
        </w:rPr>
      </w:pPr>
      <w:r>
        <w:rPr>
          <w:b/>
          <w:bCs/>
          <w:color w:val="1F497D"/>
          <w:sz w:val="24"/>
          <w:szCs w:val="24"/>
        </w:rPr>
        <w:t xml:space="preserve">novostavby (obchvaty, přeložky, propojky)</w:t>
      </w:r>
      <w:r/>
    </w:p>
    <w:p>
      <w:p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</w:r>
      <w:r/>
    </w:p>
    <w:p>
      <w:p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Homogenizace nejsou do prioritizace uvažovány, stejně tak lokální drobné opravy vozovky</w:t>
      </w:r>
      <w:r>
        <w:rPr>
          <w:color w:val="1F497D"/>
          <w:sz w:val="24"/>
          <w:szCs w:val="24"/>
        </w:rPr>
        <w:t xml:space="preserve"> a údržba mostů</w:t>
      </w:r>
      <w:r>
        <w:rPr>
          <w:color w:val="1F497D"/>
          <w:sz w:val="24"/>
          <w:szCs w:val="24"/>
        </w:rPr>
        <w:t xml:space="preserve">. Celoplošné opravy </w:t>
      </w:r>
      <w:r>
        <w:rPr>
          <w:color w:val="1F497D"/>
          <w:sz w:val="24"/>
          <w:szCs w:val="24"/>
        </w:rPr>
        <w:t xml:space="preserve">jsou součástí prioritizace.</w:t>
      </w:r>
      <w:r/>
    </w:p>
    <w:p>
      <w:p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</w:r>
      <w:r/>
    </w:p>
    <w:p>
      <w:p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Bodové hodnocení každého kritéria je nastaveno 0-10 přičemž je pevně dán bodový rozsah u jednotlivých kritérií.</w:t>
      </w:r>
      <w:r/>
    </w:p>
    <w:p>
      <w:p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Jednotlivá kritéria hodnocení jsou:</w:t>
      </w:r>
      <w:r/>
    </w:p>
    <w:p>
      <w:pPr>
        <w:pStyle w:val="620"/>
        <w:numPr>
          <w:ilvl w:val="0"/>
          <w:numId w:val="4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  <w:u w:val="single"/>
        </w:rPr>
        <w:t xml:space="preserve">dopravní zatížení</w:t>
      </w:r>
      <w:r>
        <w:rPr>
          <w:color w:val="1F497D"/>
          <w:sz w:val="24"/>
          <w:szCs w:val="24"/>
        </w:rPr>
        <w:t xml:space="preserve">:</w:t>
      </w:r>
      <w:r>
        <w:rPr>
          <w:rFonts w:cs="Times New Roman"/>
        </w:rPr>
        <w:t xml:space="preserve"> </w:t>
      </w:r>
      <w:r>
        <w:rPr>
          <w:color w:val="1F497D"/>
          <w:sz w:val="24"/>
          <w:szCs w:val="24"/>
        </w:rPr>
        <w:t xml:space="preserve">hodnoty dopravního zatížení jsou přebírány z výsledků </w:t>
      </w:r>
      <w:r>
        <w:rPr>
          <w:color w:val="1F497D"/>
          <w:sz w:val="24"/>
          <w:szCs w:val="24"/>
        </w:rPr>
        <w:t xml:space="preserve">celostátního sčítání dopravy</w:t>
      </w:r>
      <w:r>
        <w:rPr>
          <w:color w:val="1F497D"/>
          <w:sz w:val="24"/>
          <w:szCs w:val="24"/>
        </w:rPr>
        <w:t xml:space="preserve">, jako hodnota RPDI (roční průměr denních intenzit) za všechna </w:t>
      </w:r>
      <w:r>
        <w:rPr>
          <w:color w:val="1F497D"/>
          <w:sz w:val="24"/>
          <w:szCs w:val="24"/>
        </w:rPr>
        <w:t xml:space="preserve">vozidla, tedy jde o položku součet vozidel</w:t>
      </w:r>
      <w:r>
        <w:rPr>
          <w:color w:val="1F497D"/>
          <w:sz w:val="24"/>
          <w:szCs w:val="24"/>
        </w:rPr>
        <w:t xml:space="preserve">. Pokud plánovaná akce zasahuje na více sčítacích úseků, bere se největší hodnota. Pokud je akce naplánovaná na komunikaci, kde sčítání neprobíhalo, provede se kvalifikovaný odhad intenzity dopravy</w:t>
      </w:r>
      <w:r>
        <w:rPr>
          <w:color w:val="1F497D"/>
          <w:sz w:val="24"/>
          <w:szCs w:val="24"/>
        </w:rPr>
        <w:t xml:space="preserve"> či na základě již provedeného měření, pokud je dostupné</w:t>
      </w:r>
      <w:r>
        <w:rPr>
          <w:color w:val="1F497D"/>
          <w:sz w:val="24"/>
          <w:szCs w:val="24"/>
        </w:rPr>
        <w:t xml:space="preserve">. </w:t>
      </w:r>
      <w:r/>
    </w:p>
    <w:p>
      <w:pPr>
        <w:pStyle w:val="620"/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</w:r>
      <w:r/>
    </w:p>
    <w:tbl>
      <w:tblPr>
        <w:tblStyle w:val="627"/>
        <w:tblW w:w="0" w:type="auto"/>
        <w:tblInd w:w="562" w:type="dxa"/>
        <w:tblLook w:val="04A0" w:firstRow="1" w:lastRow="0" w:firstColumn="1" w:lastColumn="0" w:noHBand="0" w:noVBand="1"/>
      </w:tblPr>
      <w:tblGrid>
        <w:gridCol w:w="1180"/>
        <w:gridCol w:w="3280"/>
        <w:gridCol w:w="1428"/>
        <w:gridCol w:w="2612"/>
      </w:tblGrid>
      <w:tr>
        <w:trPr/>
        <w:tc>
          <w:tcPr>
            <w:tcW w:w="56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Č.</w:t>
            </w:r>
            <w:r/>
          </w:p>
        </w:tc>
        <w:tc>
          <w:tcPr>
            <w:tcW w:w="4052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Popis</w:t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Body</w:t>
            </w:r>
            <w:r/>
          </w:p>
        </w:tc>
        <w:tc>
          <w:tcPr>
            <w:tcW w:w="3217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K</w:t>
            </w:r>
            <w:r>
              <w:rPr>
                <w:color w:val="1F497D"/>
                <w:sz w:val="24"/>
                <w:szCs w:val="24"/>
              </w:rPr>
              <w:t xml:space="preserve">ritérium</w:t>
            </w:r>
            <w:r/>
          </w:p>
        </w:tc>
      </w:tr>
      <w:tr>
        <w:trPr/>
        <w:tc>
          <w:tcPr>
            <w:tcW w:w="56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0</w:t>
            </w:r>
            <w:r/>
          </w:p>
        </w:tc>
        <w:tc>
          <w:tcPr>
            <w:tcW w:w="4052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Nehodnoceno</w:t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0</w:t>
            </w:r>
            <w:r/>
          </w:p>
        </w:tc>
        <w:tc>
          <w:tcPr>
            <w:tcW w:w="3217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Dopravní zatížení</w:t>
            </w:r>
            <w:r/>
          </w:p>
        </w:tc>
      </w:tr>
      <w:tr>
        <w:trPr/>
        <w:tc>
          <w:tcPr>
            <w:tcW w:w="56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1</w:t>
            </w:r>
            <w:r/>
          </w:p>
        </w:tc>
        <w:tc>
          <w:tcPr>
            <w:tcW w:w="4052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&lt;500</w:t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1</w:t>
            </w:r>
            <w:r/>
          </w:p>
        </w:tc>
        <w:tc>
          <w:tcPr>
            <w:tcW w:w="3217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Dopravní zatížení</w:t>
            </w:r>
            <w:r/>
          </w:p>
        </w:tc>
      </w:tr>
      <w:tr>
        <w:trPr/>
        <w:tc>
          <w:tcPr>
            <w:tcW w:w="56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2</w:t>
            </w:r>
            <w:r/>
          </w:p>
        </w:tc>
        <w:tc>
          <w:tcPr>
            <w:tcW w:w="4052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&lt;1000</w:t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2</w:t>
            </w:r>
            <w:r/>
          </w:p>
        </w:tc>
        <w:tc>
          <w:tcPr>
            <w:tcW w:w="3217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Dopravní zatížení</w:t>
            </w:r>
            <w:r/>
          </w:p>
        </w:tc>
      </w:tr>
      <w:tr>
        <w:trPr/>
        <w:tc>
          <w:tcPr>
            <w:tcW w:w="56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3</w:t>
            </w:r>
            <w:r/>
          </w:p>
        </w:tc>
        <w:tc>
          <w:tcPr>
            <w:tcW w:w="4052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&lt;3000</w:t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3</w:t>
            </w:r>
            <w:r/>
          </w:p>
        </w:tc>
        <w:tc>
          <w:tcPr>
            <w:tcW w:w="3217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Dopravní zatížení</w:t>
            </w:r>
            <w:r/>
          </w:p>
        </w:tc>
      </w:tr>
      <w:tr>
        <w:trPr/>
        <w:tc>
          <w:tcPr>
            <w:tcW w:w="56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4</w:t>
            </w:r>
            <w:r/>
          </w:p>
        </w:tc>
        <w:tc>
          <w:tcPr>
            <w:tcW w:w="4052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&lt;5000</w:t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4</w:t>
            </w:r>
            <w:r/>
          </w:p>
        </w:tc>
        <w:tc>
          <w:tcPr>
            <w:tcW w:w="3217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Dopravní zatížení</w:t>
            </w:r>
            <w:r/>
          </w:p>
        </w:tc>
      </w:tr>
      <w:tr>
        <w:trPr/>
        <w:tc>
          <w:tcPr>
            <w:tcW w:w="56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5</w:t>
            </w:r>
            <w:r/>
          </w:p>
        </w:tc>
        <w:tc>
          <w:tcPr>
            <w:tcW w:w="4052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&lt;7000</w:t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5</w:t>
            </w:r>
            <w:r/>
          </w:p>
        </w:tc>
        <w:tc>
          <w:tcPr>
            <w:tcW w:w="3217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Dopravní zatížení</w:t>
            </w:r>
            <w:r/>
          </w:p>
        </w:tc>
      </w:tr>
      <w:tr>
        <w:trPr/>
        <w:tc>
          <w:tcPr>
            <w:tcW w:w="56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6</w:t>
            </w:r>
            <w:r/>
          </w:p>
        </w:tc>
        <w:tc>
          <w:tcPr>
            <w:tcW w:w="4052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&lt;9000</w:t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6</w:t>
            </w:r>
            <w:r/>
          </w:p>
        </w:tc>
        <w:tc>
          <w:tcPr>
            <w:tcW w:w="3217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Dopravní zatížení</w:t>
            </w:r>
            <w:r/>
          </w:p>
        </w:tc>
      </w:tr>
      <w:tr>
        <w:trPr/>
        <w:tc>
          <w:tcPr>
            <w:tcW w:w="56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7</w:t>
            </w:r>
            <w:r/>
          </w:p>
        </w:tc>
        <w:tc>
          <w:tcPr>
            <w:tcW w:w="4052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&lt;12000</w:t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7</w:t>
            </w:r>
            <w:r/>
          </w:p>
        </w:tc>
        <w:tc>
          <w:tcPr>
            <w:tcW w:w="3217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Dopravní zatížení</w:t>
            </w:r>
            <w:r/>
          </w:p>
        </w:tc>
      </w:tr>
      <w:tr>
        <w:trPr/>
        <w:tc>
          <w:tcPr>
            <w:tcW w:w="56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8</w:t>
            </w:r>
            <w:r/>
          </w:p>
        </w:tc>
        <w:tc>
          <w:tcPr>
            <w:tcW w:w="4052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&lt;15000</w:t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8</w:t>
            </w:r>
            <w:r/>
          </w:p>
        </w:tc>
        <w:tc>
          <w:tcPr>
            <w:tcW w:w="3217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Dopravní zatížení</w:t>
            </w:r>
            <w:r/>
          </w:p>
        </w:tc>
      </w:tr>
      <w:tr>
        <w:trPr/>
        <w:tc>
          <w:tcPr>
            <w:tcW w:w="56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9</w:t>
            </w:r>
            <w:r/>
          </w:p>
        </w:tc>
        <w:tc>
          <w:tcPr>
            <w:tcW w:w="4052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&lt;18000</w:t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9</w:t>
            </w:r>
            <w:r/>
          </w:p>
        </w:tc>
        <w:tc>
          <w:tcPr>
            <w:tcW w:w="3217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Dopravní zatížení</w:t>
            </w:r>
            <w:r/>
          </w:p>
        </w:tc>
      </w:tr>
      <w:tr>
        <w:trPr/>
        <w:tc>
          <w:tcPr>
            <w:tcW w:w="56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10</w:t>
            </w:r>
            <w:r/>
          </w:p>
        </w:tc>
        <w:tc>
          <w:tcPr>
            <w:tcW w:w="4052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&gt;18000</w:t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10</w:t>
            </w:r>
            <w:r/>
          </w:p>
        </w:tc>
        <w:tc>
          <w:tcPr>
            <w:tcW w:w="3217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Dopravní zatížení</w:t>
            </w:r>
            <w:r/>
          </w:p>
        </w:tc>
      </w:tr>
    </w:tbl>
    <w:p>
      <w:pPr>
        <w:pStyle w:val="620"/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</w:r>
      <w:r/>
    </w:p>
    <w:p>
      <w:pPr>
        <w:pStyle w:val="620"/>
        <w:numPr>
          <w:ilvl w:val="0"/>
          <w:numId w:val="4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  <w:u w:val="single"/>
        </w:rPr>
        <w:t xml:space="preserve">s</w:t>
      </w:r>
      <w:r>
        <w:rPr>
          <w:color w:val="1F497D"/>
          <w:sz w:val="24"/>
          <w:szCs w:val="24"/>
          <w:u w:val="single"/>
        </w:rPr>
        <w:t xml:space="preserve">polufinancování</w:t>
      </w:r>
      <w:r>
        <w:rPr>
          <w:color w:val="1F497D"/>
          <w:sz w:val="24"/>
          <w:szCs w:val="24"/>
        </w:rPr>
        <w:t xml:space="preserve">: </w:t>
      </w:r>
      <w:r>
        <w:rPr>
          <w:color w:val="1F497D"/>
          <w:sz w:val="24"/>
          <w:szCs w:val="24"/>
        </w:rPr>
        <w:t xml:space="preserve">je určeno mírou vstupu cizích finančních prostředků (např. SFDI</w:t>
      </w:r>
      <w:r>
        <w:rPr>
          <w:color w:val="1F497D"/>
          <w:sz w:val="24"/>
          <w:szCs w:val="24"/>
        </w:rPr>
        <w:t xml:space="preserve">, IROP/ITI</w:t>
      </w:r>
      <w:r>
        <w:rPr>
          <w:color w:val="1F497D"/>
          <w:sz w:val="24"/>
          <w:szCs w:val="24"/>
        </w:rPr>
        <w:t xml:space="preserve">)</w:t>
      </w:r>
      <w:r/>
    </w:p>
    <w:p>
      <w:pPr>
        <w:pStyle w:val="620"/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</w:r>
      <w:r/>
    </w:p>
    <w:tbl>
      <w:tblPr>
        <w:tblStyle w:val="627"/>
        <w:tblW w:w="0" w:type="auto"/>
        <w:tblInd w:w="720" w:type="dxa"/>
        <w:tblLook w:val="04A0" w:firstRow="1" w:lastRow="0" w:firstColumn="1" w:lastColumn="0" w:noHBand="0" w:noVBand="1"/>
      </w:tblPr>
      <w:tblGrid>
        <w:gridCol w:w="1180"/>
        <w:gridCol w:w="2865"/>
        <w:gridCol w:w="1424"/>
        <w:gridCol w:w="2873"/>
      </w:tblGrid>
      <w:tr>
        <w:trPr/>
        <w:tc>
          <w:tcPr>
            <w:tcW w:w="440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Č.</w:t>
            </w:r>
            <w:r/>
          </w:p>
        </w:tc>
        <w:tc>
          <w:tcPr>
            <w:tcW w:w="408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popis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body</w:t>
            </w:r>
            <w:r/>
          </w:p>
        </w:tc>
        <w:tc>
          <w:tcPr>
            <w:tcW w:w="310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Kritérium</w:t>
            </w:r>
            <w:r/>
          </w:p>
        </w:tc>
      </w:tr>
      <w:tr>
        <w:trPr/>
        <w:tc>
          <w:tcPr>
            <w:tcW w:w="440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0</w:t>
            </w:r>
            <w:r/>
          </w:p>
        </w:tc>
        <w:tc>
          <w:tcPr>
            <w:tcW w:w="408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Není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0</w:t>
            </w:r>
            <w:r/>
          </w:p>
        </w:tc>
        <w:tc>
          <w:tcPr>
            <w:tcW w:w="310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S</w:t>
            </w:r>
            <w:r>
              <w:rPr>
                <w:color w:val="1F497D"/>
                <w:sz w:val="24"/>
                <w:szCs w:val="24"/>
              </w:rPr>
              <w:t xml:space="preserve">polufinancování</w:t>
            </w:r>
            <w:r/>
          </w:p>
        </w:tc>
      </w:tr>
      <w:tr>
        <w:trPr/>
        <w:tc>
          <w:tcPr>
            <w:tcW w:w="440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1</w:t>
            </w:r>
            <w:r/>
          </w:p>
        </w:tc>
        <w:tc>
          <w:tcPr>
            <w:tcW w:w="408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&gt;5%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1</w:t>
            </w:r>
            <w:r/>
          </w:p>
        </w:tc>
        <w:tc>
          <w:tcPr>
            <w:tcW w:w="310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S</w:t>
            </w:r>
            <w:r>
              <w:rPr>
                <w:color w:val="1F497D"/>
                <w:sz w:val="24"/>
                <w:szCs w:val="24"/>
              </w:rPr>
              <w:t xml:space="preserve">polufinancování</w:t>
            </w:r>
            <w:r/>
          </w:p>
        </w:tc>
      </w:tr>
      <w:tr>
        <w:trPr/>
        <w:tc>
          <w:tcPr>
            <w:tcW w:w="440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2</w:t>
            </w:r>
            <w:r/>
          </w:p>
        </w:tc>
        <w:tc>
          <w:tcPr>
            <w:tcW w:w="408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&gt;10%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2</w:t>
            </w:r>
            <w:r/>
          </w:p>
        </w:tc>
        <w:tc>
          <w:tcPr>
            <w:tcW w:w="310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S</w:t>
            </w:r>
            <w:r>
              <w:rPr>
                <w:color w:val="1F497D"/>
                <w:sz w:val="24"/>
                <w:szCs w:val="24"/>
              </w:rPr>
              <w:t xml:space="preserve">polufinancování</w:t>
            </w:r>
            <w:r/>
          </w:p>
        </w:tc>
      </w:tr>
      <w:tr>
        <w:trPr/>
        <w:tc>
          <w:tcPr>
            <w:tcW w:w="440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3</w:t>
            </w:r>
            <w:r/>
          </w:p>
        </w:tc>
        <w:tc>
          <w:tcPr>
            <w:tcW w:w="408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&gt;15%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3</w:t>
            </w:r>
            <w:r/>
          </w:p>
        </w:tc>
        <w:tc>
          <w:tcPr>
            <w:tcW w:w="310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S</w:t>
            </w:r>
            <w:r>
              <w:rPr>
                <w:color w:val="1F497D"/>
                <w:sz w:val="24"/>
                <w:szCs w:val="24"/>
              </w:rPr>
              <w:t xml:space="preserve">polufinancování</w:t>
            </w:r>
            <w:r/>
          </w:p>
        </w:tc>
      </w:tr>
      <w:tr>
        <w:trPr/>
        <w:tc>
          <w:tcPr>
            <w:tcW w:w="440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4</w:t>
            </w:r>
            <w:r/>
          </w:p>
        </w:tc>
        <w:tc>
          <w:tcPr>
            <w:tcW w:w="408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&gt;20%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4</w:t>
            </w:r>
            <w:r/>
          </w:p>
        </w:tc>
        <w:tc>
          <w:tcPr>
            <w:tcW w:w="310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S</w:t>
            </w:r>
            <w:r>
              <w:rPr>
                <w:color w:val="1F497D"/>
                <w:sz w:val="24"/>
                <w:szCs w:val="24"/>
              </w:rPr>
              <w:t xml:space="preserve">polufinancování</w:t>
            </w:r>
            <w:r/>
          </w:p>
        </w:tc>
      </w:tr>
      <w:tr>
        <w:trPr/>
        <w:tc>
          <w:tcPr>
            <w:tcW w:w="440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5</w:t>
            </w:r>
            <w:r/>
          </w:p>
        </w:tc>
        <w:tc>
          <w:tcPr>
            <w:tcW w:w="408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&gt;25%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5</w:t>
            </w:r>
            <w:r/>
          </w:p>
        </w:tc>
        <w:tc>
          <w:tcPr>
            <w:tcW w:w="310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S</w:t>
            </w:r>
            <w:r>
              <w:rPr>
                <w:color w:val="1F497D"/>
                <w:sz w:val="24"/>
                <w:szCs w:val="24"/>
              </w:rPr>
              <w:t xml:space="preserve">polufinancování</w:t>
            </w:r>
            <w:r/>
          </w:p>
        </w:tc>
      </w:tr>
      <w:tr>
        <w:trPr/>
        <w:tc>
          <w:tcPr>
            <w:tcW w:w="440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6</w:t>
            </w:r>
            <w:r/>
          </w:p>
        </w:tc>
        <w:tc>
          <w:tcPr>
            <w:tcW w:w="408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&gt;30%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6</w:t>
            </w:r>
            <w:r/>
          </w:p>
        </w:tc>
        <w:tc>
          <w:tcPr>
            <w:tcW w:w="310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S</w:t>
            </w:r>
            <w:r>
              <w:rPr>
                <w:color w:val="1F497D"/>
                <w:sz w:val="24"/>
                <w:szCs w:val="24"/>
              </w:rPr>
              <w:t xml:space="preserve">polufinancování</w:t>
            </w:r>
            <w:r/>
          </w:p>
        </w:tc>
      </w:tr>
      <w:tr>
        <w:trPr/>
        <w:tc>
          <w:tcPr>
            <w:tcW w:w="440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7</w:t>
            </w:r>
            <w:r/>
          </w:p>
        </w:tc>
        <w:tc>
          <w:tcPr>
            <w:tcW w:w="408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&gt;35%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7</w:t>
            </w:r>
            <w:r/>
          </w:p>
        </w:tc>
        <w:tc>
          <w:tcPr>
            <w:tcW w:w="310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S</w:t>
            </w:r>
            <w:r>
              <w:rPr>
                <w:color w:val="1F497D"/>
                <w:sz w:val="24"/>
                <w:szCs w:val="24"/>
              </w:rPr>
              <w:t xml:space="preserve">polufinancování</w:t>
            </w:r>
            <w:r/>
          </w:p>
        </w:tc>
      </w:tr>
      <w:tr>
        <w:trPr/>
        <w:tc>
          <w:tcPr>
            <w:tcW w:w="440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8</w:t>
            </w:r>
            <w:r/>
          </w:p>
        </w:tc>
        <w:tc>
          <w:tcPr>
            <w:tcW w:w="408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&gt;40%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8</w:t>
            </w:r>
            <w:r/>
          </w:p>
        </w:tc>
        <w:tc>
          <w:tcPr>
            <w:tcW w:w="310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spolufinancování</w:t>
            </w:r>
            <w:r/>
          </w:p>
        </w:tc>
      </w:tr>
      <w:tr>
        <w:trPr/>
        <w:tc>
          <w:tcPr>
            <w:tcW w:w="440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9</w:t>
            </w:r>
            <w:r/>
          </w:p>
        </w:tc>
        <w:tc>
          <w:tcPr>
            <w:tcW w:w="408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&gt;45%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9</w:t>
            </w:r>
            <w:r/>
          </w:p>
        </w:tc>
        <w:tc>
          <w:tcPr>
            <w:tcW w:w="310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spolufinancování</w:t>
            </w:r>
            <w:r/>
          </w:p>
        </w:tc>
      </w:tr>
      <w:tr>
        <w:trPr/>
        <w:tc>
          <w:tcPr>
            <w:tcW w:w="440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10</w:t>
            </w:r>
            <w:r/>
          </w:p>
        </w:tc>
        <w:tc>
          <w:tcPr>
            <w:tcW w:w="408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&gt;50%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10</w:t>
            </w:r>
            <w:r/>
          </w:p>
        </w:tc>
        <w:tc>
          <w:tcPr>
            <w:tcW w:w="310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spolufinancování</w:t>
            </w:r>
            <w:r/>
          </w:p>
        </w:tc>
      </w:tr>
    </w:tbl>
    <w:p>
      <w:pPr>
        <w:pStyle w:val="620"/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</w:r>
      <w:r/>
    </w:p>
    <w:p>
      <w:pPr>
        <w:pStyle w:val="620"/>
        <w:numPr>
          <w:ilvl w:val="0"/>
          <w:numId w:val="4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  <w:u w:val="single"/>
        </w:rPr>
        <w:t xml:space="preserve">dopravní</w:t>
      </w:r>
      <w:r>
        <w:rPr>
          <w:color w:val="1F497D"/>
          <w:sz w:val="24"/>
          <w:szCs w:val="24"/>
          <w:u w:val="single"/>
        </w:rPr>
        <w:t xml:space="preserve"> </w:t>
      </w:r>
      <w:r>
        <w:rPr>
          <w:color w:val="1F497D"/>
          <w:sz w:val="24"/>
          <w:szCs w:val="24"/>
          <w:u w:val="single"/>
        </w:rPr>
        <w:t xml:space="preserve">význam</w:t>
      </w:r>
      <w:r>
        <w:rPr>
          <w:color w:val="1F497D"/>
          <w:sz w:val="24"/>
          <w:szCs w:val="24"/>
        </w:rPr>
        <w:t xml:space="preserve">: je určen třídou komunikace</w:t>
      </w:r>
      <w:r>
        <w:rPr>
          <w:color w:val="1F497D"/>
          <w:sz w:val="24"/>
          <w:szCs w:val="24"/>
        </w:rPr>
        <w:t xml:space="preserve"> na síti spravované </w:t>
      </w:r>
      <w:r>
        <w:rPr>
          <w:color w:val="1F497D"/>
          <w:sz w:val="24"/>
          <w:szCs w:val="24"/>
        </w:rPr>
        <w:t xml:space="preserve">Středočeským krajem (II. a III.</w:t>
      </w:r>
      <w:r>
        <w:rPr>
          <w:color w:val="1F497D"/>
          <w:sz w:val="24"/>
          <w:szCs w:val="24"/>
        </w:rPr>
        <w:t xml:space="preserve"> </w:t>
      </w:r>
      <w:r>
        <w:rPr>
          <w:color w:val="1F497D"/>
          <w:sz w:val="24"/>
          <w:szCs w:val="24"/>
        </w:rPr>
        <w:t xml:space="preserve">tř.)</w:t>
      </w:r>
      <w:r/>
    </w:p>
    <w:p>
      <w:pPr>
        <w:pStyle w:val="620"/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</w:r>
      <w:r/>
    </w:p>
    <w:tbl>
      <w:tblPr>
        <w:tblStyle w:val="627"/>
        <w:tblW w:w="0" w:type="auto"/>
        <w:tblInd w:w="704" w:type="dxa"/>
        <w:tblLook w:val="04A0" w:firstRow="1" w:lastRow="0" w:firstColumn="1" w:lastColumn="0" w:noHBand="0" w:noVBand="1"/>
      </w:tblPr>
      <w:tblGrid>
        <w:gridCol w:w="1125"/>
        <w:gridCol w:w="3330"/>
        <w:gridCol w:w="1424"/>
        <w:gridCol w:w="2479"/>
      </w:tblGrid>
      <w:tr>
        <w:trPr/>
        <w:tc>
          <w:tcPr>
            <w:tcW w:w="1125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Č.</w:t>
            </w:r>
            <w:r/>
          </w:p>
        </w:tc>
        <w:tc>
          <w:tcPr>
            <w:tcW w:w="3330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P</w:t>
            </w:r>
            <w:r>
              <w:rPr>
                <w:color w:val="1F497D"/>
                <w:sz w:val="24"/>
                <w:szCs w:val="24"/>
              </w:rPr>
              <w:t xml:space="preserve">opis</w:t>
            </w:r>
            <w:r/>
          </w:p>
        </w:tc>
        <w:tc>
          <w:tcPr>
            <w:tcW w:w="142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body</w:t>
            </w:r>
            <w:r/>
          </w:p>
        </w:tc>
        <w:tc>
          <w:tcPr>
            <w:tcW w:w="247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kritérium</w:t>
            </w:r>
            <w:r/>
          </w:p>
        </w:tc>
      </w:tr>
      <w:tr>
        <w:trPr/>
        <w:tc>
          <w:tcPr>
            <w:tcW w:w="1125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1</w:t>
            </w:r>
            <w:r/>
          </w:p>
        </w:tc>
        <w:tc>
          <w:tcPr>
            <w:tcW w:w="3330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II. třída</w:t>
            </w:r>
            <w:r/>
          </w:p>
        </w:tc>
        <w:tc>
          <w:tcPr>
            <w:tcW w:w="142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10</w:t>
            </w:r>
            <w:r/>
          </w:p>
        </w:tc>
        <w:tc>
          <w:tcPr>
            <w:tcW w:w="247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Dopravní význam</w:t>
            </w:r>
            <w:r/>
          </w:p>
        </w:tc>
      </w:tr>
      <w:tr>
        <w:trPr/>
        <w:tc>
          <w:tcPr>
            <w:tcW w:w="1125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2</w:t>
            </w:r>
            <w:r/>
          </w:p>
        </w:tc>
        <w:tc>
          <w:tcPr>
            <w:tcW w:w="3330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III. třída</w:t>
            </w:r>
            <w:r/>
          </w:p>
        </w:tc>
        <w:tc>
          <w:tcPr>
            <w:tcW w:w="1424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5</w:t>
            </w:r>
            <w:r/>
          </w:p>
        </w:tc>
        <w:tc>
          <w:tcPr>
            <w:tcW w:w="247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Dopravní význam</w:t>
            </w:r>
            <w:r/>
          </w:p>
        </w:tc>
      </w:tr>
    </w:tbl>
    <w:p>
      <w:pPr>
        <w:pStyle w:val="620"/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</w:r>
      <w:r/>
    </w:p>
    <w:p>
      <w:pPr>
        <w:pStyle w:val="620"/>
        <w:numPr>
          <w:ilvl w:val="0"/>
          <w:numId w:val="4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  <w:u w:val="single"/>
        </w:rPr>
        <w:t xml:space="preserve">technický stav</w:t>
      </w:r>
      <w:r>
        <w:rPr>
          <w:color w:val="1F497D"/>
          <w:sz w:val="24"/>
          <w:szCs w:val="24"/>
        </w:rPr>
        <w:t xml:space="preserve">: </w:t>
      </w:r>
      <w:r>
        <w:rPr>
          <w:color w:val="1F497D"/>
          <w:sz w:val="24"/>
          <w:szCs w:val="24"/>
        </w:rPr>
        <w:t xml:space="preserve">hodnotí komunikaci z hlediska stavebně-technického, tedy směrového a výškového řešení, rozhledové poměry, řešení křižovatek atd. </w:t>
      </w:r>
      <w:r/>
    </w:p>
    <w:p>
      <w:pPr>
        <w:pStyle w:val="620"/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</w:r>
      <w:r/>
    </w:p>
    <w:tbl>
      <w:tblPr>
        <w:tblStyle w:val="627"/>
        <w:tblW w:w="0" w:type="auto"/>
        <w:tblInd w:w="720" w:type="dxa"/>
        <w:tblLook w:val="04A0" w:firstRow="1" w:lastRow="0" w:firstColumn="1" w:lastColumn="0" w:noHBand="0" w:noVBand="1"/>
      </w:tblPr>
      <w:tblGrid>
        <w:gridCol w:w="1125"/>
        <w:gridCol w:w="3303"/>
        <w:gridCol w:w="1424"/>
        <w:gridCol w:w="2490"/>
      </w:tblGrid>
      <w:tr>
        <w:trPr/>
        <w:tc>
          <w:tcPr>
            <w:tcW w:w="40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Č.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P</w:t>
            </w:r>
            <w:r>
              <w:rPr>
                <w:color w:val="1F497D"/>
                <w:sz w:val="24"/>
                <w:szCs w:val="24"/>
              </w:rPr>
              <w:t xml:space="preserve">opis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body</w:t>
            </w:r>
            <w:r/>
          </w:p>
        </w:tc>
        <w:tc>
          <w:tcPr>
            <w:tcW w:w="297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Kritérium</w:t>
            </w:r>
            <w:r/>
          </w:p>
        </w:tc>
      </w:tr>
      <w:tr>
        <w:trPr/>
        <w:tc>
          <w:tcPr>
            <w:tcW w:w="40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0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Nehodnoceno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0</w:t>
            </w:r>
            <w:r/>
          </w:p>
        </w:tc>
        <w:tc>
          <w:tcPr>
            <w:tcW w:w="297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Technický stav</w:t>
            </w:r>
            <w:r/>
          </w:p>
        </w:tc>
      </w:tr>
      <w:tr>
        <w:trPr/>
        <w:tc>
          <w:tcPr>
            <w:tcW w:w="40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1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Splňuje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1</w:t>
            </w:r>
            <w:r/>
          </w:p>
        </w:tc>
        <w:tc>
          <w:tcPr>
            <w:tcW w:w="297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Technický stav</w:t>
            </w:r>
            <w:r/>
          </w:p>
        </w:tc>
      </w:tr>
      <w:tr>
        <w:trPr/>
        <w:tc>
          <w:tcPr>
            <w:tcW w:w="40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2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Splňuje s</w:t>
            </w:r>
            <w:r>
              <w:rPr>
                <w:color w:val="1F497D"/>
                <w:sz w:val="24"/>
                <w:szCs w:val="24"/>
              </w:rPr>
              <w:t xml:space="preserve"> </w:t>
            </w:r>
            <w:r>
              <w:rPr>
                <w:color w:val="1F497D"/>
                <w:sz w:val="24"/>
                <w:szCs w:val="24"/>
              </w:rPr>
              <w:t xml:space="preserve">nedostatky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3</w:t>
            </w:r>
            <w:r/>
          </w:p>
        </w:tc>
        <w:tc>
          <w:tcPr>
            <w:tcW w:w="297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Technický stav</w:t>
            </w:r>
            <w:r/>
          </w:p>
        </w:tc>
      </w:tr>
      <w:tr>
        <w:trPr/>
        <w:tc>
          <w:tcPr>
            <w:tcW w:w="40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3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Splňuje s</w:t>
            </w:r>
            <w:r>
              <w:rPr>
                <w:color w:val="1F497D"/>
                <w:sz w:val="24"/>
                <w:szCs w:val="24"/>
              </w:rPr>
              <w:t xml:space="preserve"> </w:t>
            </w:r>
            <w:r>
              <w:rPr>
                <w:color w:val="1F497D"/>
                <w:sz w:val="24"/>
                <w:szCs w:val="24"/>
              </w:rPr>
              <w:t xml:space="preserve">výhradami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6</w:t>
            </w:r>
            <w:r/>
          </w:p>
        </w:tc>
        <w:tc>
          <w:tcPr>
            <w:tcW w:w="297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Technický stav</w:t>
            </w:r>
            <w:r/>
          </w:p>
        </w:tc>
      </w:tr>
      <w:tr>
        <w:trPr/>
        <w:tc>
          <w:tcPr>
            <w:tcW w:w="40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4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N</w:t>
            </w:r>
            <w:r>
              <w:rPr>
                <w:color w:val="1F497D"/>
                <w:sz w:val="24"/>
                <w:szCs w:val="24"/>
              </w:rPr>
              <w:t xml:space="preserve">esplňuje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10</w:t>
            </w:r>
            <w:r/>
          </w:p>
        </w:tc>
        <w:tc>
          <w:tcPr>
            <w:tcW w:w="297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Technický stav</w:t>
            </w:r>
            <w:r/>
          </w:p>
        </w:tc>
      </w:tr>
    </w:tbl>
    <w:p>
      <w:pPr>
        <w:pStyle w:val="620"/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</w:r>
      <w:r/>
    </w:p>
    <w:p>
      <w:pPr>
        <w:pStyle w:val="620"/>
        <w:numPr>
          <w:ilvl w:val="0"/>
          <w:numId w:val="4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  <w:u w:val="single"/>
        </w:rPr>
        <w:t xml:space="preserve">stavební stav</w:t>
      </w:r>
      <w:r>
        <w:rPr>
          <w:color w:val="1F497D"/>
          <w:sz w:val="24"/>
          <w:szCs w:val="24"/>
        </w:rPr>
        <w:t xml:space="preserve">:</w:t>
      </w:r>
      <w:r>
        <w:rPr>
          <w:rFonts w:cs="Times New Roman"/>
        </w:rPr>
        <w:t xml:space="preserve"> </w:t>
      </w:r>
      <w:r>
        <w:rPr>
          <w:color w:val="1F497D"/>
          <w:sz w:val="24"/>
          <w:szCs w:val="24"/>
        </w:rPr>
        <w:t xml:space="preserve">je určen hodnocením stavu vozovky, např. na základě měření multifunkčním diagnostickým vozidlem, nebo jiný</w:t>
      </w:r>
      <w:r>
        <w:rPr>
          <w:color w:val="1F497D"/>
          <w:sz w:val="24"/>
          <w:szCs w:val="24"/>
        </w:rPr>
        <w:t xml:space="preserve">m způsobem podle TP 82 a TP 87.</w:t>
      </w:r>
      <w:r/>
    </w:p>
    <w:p>
      <w:pPr>
        <w:pStyle w:val="620"/>
        <w:numPr>
          <w:ilvl w:val="0"/>
          <w:numId w:val="4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</w:r>
      <w:r/>
    </w:p>
    <w:tbl>
      <w:tblPr>
        <w:tblStyle w:val="627"/>
        <w:tblW w:w="0" w:type="auto"/>
        <w:tblInd w:w="709" w:type="dxa"/>
        <w:tblLook w:val="04A0" w:firstRow="1" w:lastRow="0" w:firstColumn="1" w:lastColumn="0" w:noHBand="0" w:noVBand="1"/>
      </w:tblPr>
      <w:tblGrid>
        <w:gridCol w:w="1125"/>
        <w:gridCol w:w="3327"/>
        <w:gridCol w:w="1424"/>
        <w:gridCol w:w="2477"/>
      </w:tblGrid>
      <w:tr>
        <w:trPr/>
        <w:tc>
          <w:tcPr>
            <w:tcW w:w="420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Č.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P</w:t>
            </w:r>
            <w:r>
              <w:rPr>
                <w:color w:val="1F497D"/>
                <w:sz w:val="24"/>
                <w:szCs w:val="24"/>
              </w:rPr>
              <w:t xml:space="preserve">opis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body</w:t>
            </w:r>
            <w:r/>
          </w:p>
        </w:tc>
        <w:tc>
          <w:tcPr>
            <w:tcW w:w="297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kritérium</w:t>
            </w:r>
            <w:r/>
          </w:p>
        </w:tc>
      </w:tr>
      <w:tr>
        <w:trPr/>
        <w:tc>
          <w:tcPr>
            <w:tcW w:w="420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0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Nehodnoceno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0</w:t>
            </w:r>
            <w:r/>
          </w:p>
        </w:tc>
        <w:tc>
          <w:tcPr>
            <w:tcW w:w="297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Stavební stav</w:t>
            </w:r>
            <w:r/>
          </w:p>
        </w:tc>
      </w:tr>
      <w:tr>
        <w:trPr/>
        <w:tc>
          <w:tcPr>
            <w:tcW w:w="420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1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Výborný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1</w:t>
            </w:r>
            <w:r/>
          </w:p>
        </w:tc>
        <w:tc>
          <w:tcPr>
            <w:tcW w:w="297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Stavební stav</w:t>
            </w:r>
            <w:r/>
          </w:p>
        </w:tc>
      </w:tr>
      <w:tr>
        <w:trPr/>
        <w:tc>
          <w:tcPr>
            <w:tcW w:w="420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2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Dobrý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2</w:t>
            </w:r>
            <w:r/>
          </w:p>
        </w:tc>
        <w:tc>
          <w:tcPr>
            <w:tcW w:w="297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Stavební stav</w:t>
            </w:r>
            <w:r/>
          </w:p>
        </w:tc>
      </w:tr>
      <w:tr>
        <w:trPr/>
        <w:tc>
          <w:tcPr>
            <w:tcW w:w="420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3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Vyhovující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3</w:t>
            </w:r>
            <w:r/>
          </w:p>
        </w:tc>
        <w:tc>
          <w:tcPr>
            <w:tcW w:w="297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Stavební stav</w:t>
            </w:r>
            <w:r/>
          </w:p>
        </w:tc>
      </w:tr>
      <w:tr>
        <w:trPr/>
        <w:tc>
          <w:tcPr>
            <w:tcW w:w="420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4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Nevyhovující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6</w:t>
            </w:r>
            <w:r/>
          </w:p>
        </w:tc>
        <w:tc>
          <w:tcPr>
            <w:tcW w:w="297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Stavební stav</w:t>
            </w:r>
            <w:r/>
          </w:p>
        </w:tc>
      </w:tr>
      <w:tr>
        <w:trPr/>
        <w:tc>
          <w:tcPr>
            <w:tcW w:w="420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5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H</w:t>
            </w:r>
            <w:r>
              <w:rPr>
                <w:color w:val="1F497D"/>
                <w:sz w:val="24"/>
                <w:szCs w:val="24"/>
              </w:rPr>
              <w:t xml:space="preserve">avarijní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10</w:t>
            </w:r>
            <w:r/>
          </w:p>
        </w:tc>
        <w:tc>
          <w:tcPr>
            <w:tcW w:w="297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Stavební stav</w:t>
            </w:r>
            <w:r/>
          </w:p>
        </w:tc>
      </w:tr>
    </w:tbl>
    <w:p>
      <w:pPr>
        <w:pStyle w:val="620"/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</w:r>
      <w:r/>
    </w:p>
    <w:p>
      <w:pPr>
        <w:pStyle w:val="620"/>
        <w:numPr>
          <w:ilvl w:val="0"/>
          <w:numId w:val="4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  <w:u w:val="single"/>
        </w:rPr>
        <w:t xml:space="preserve">životní prostředí</w:t>
      </w:r>
      <w:r>
        <w:rPr>
          <w:color w:val="1F497D"/>
          <w:sz w:val="24"/>
          <w:szCs w:val="24"/>
        </w:rPr>
        <w:t xml:space="preserve">: </w:t>
      </w:r>
      <w:r>
        <w:rPr>
          <w:color w:val="1F497D"/>
          <w:sz w:val="24"/>
          <w:szCs w:val="24"/>
        </w:rPr>
        <w:t xml:space="preserve">hodnotí se, jestli akce je vyvolána požadavkem na zlepšení Ž</w:t>
      </w:r>
      <w:r>
        <w:rPr>
          <w:color w:val="1F497D"/>
          <w:sz w:val="24"/>
          <w:szCs w:val="24"/>
        </w:rPr>
        <w:t xml:space="preserve">P nebo k němu výrazně přispěje.</w:t>
      </w:r>
      <w:r/>
    </w:p>
    <w:p>
      <w:pPr>
        <w:pStyle w:val="620"/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</w:r>
      <w:r/>
    </w:p>
    <w:tbl>
      <w:tblPr>
        <w:tblStyle w:val="627"/>
        <w:tblW w:w="0" w:type="auto"/>
        <w:tblInd w:w="709" w:type="dxa"/>
        <w:tblLook w:val="04A0" w:firstRow="1" w:lastRow="0" w:firstColumn="1" w:lastColumn="0" w:noHBand="0" w:noVBand="1"/>
      </w:tblPr>
      <w:tblGrid>
        <w:gridCol w:w="1125"/>
        <w:gridCol w:w="3323"/>
        <w:gridCol w:w="1424"/>
        <w:gridCol w:w="2481"/>
      </w:tblGrid>
      <w:tr>
        <w:trPr/>
        <w:tc>
          <w:tcPr>
            <w:tcW w:w="420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Č.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P</w:t>
            </w:r>
            <w:r>
              <w:rPr>
                <w:color w:val="1F497D"/>
                <w:sz w:val="24"/>
                <w:szCs w:val="24"/>
              </w:rPr>
              <w:t xml:space="preserve">opis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body</w:t>
            </w:r>
            <w:r/>
          </w:p>
        </w:tc>
        <w:tc>
          <w:tcPr>
            <w:tcW w:w="297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Kritérium</w:t>
            </w:r>
            <w:r/>
          </w:p>
        </w:tc>
      </w:tr>
      <w:tr>
        <w:trPr/>
        <w:tc>
          <w:tcPr>
            <w:tcW w:w="420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0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Nehodnoceno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0</w:t>
            </w:r>
            <w:r/>
          </w:p>
        </w:tc>
        <w:tc>
          <w:tcPr>
            <w:tcW w:w="297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Životní prostředí</w:t>
            </w:r>
            <w:r/>
          </w:p>
        </w:tc>
      </w:tr>
      <w:tr>
        <w:trPr/>
        <w:tc>
          <w:tcPr>
            <w:tcW w:w="420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1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Bez vlivu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1</w:t>
            </w:r>
            <w:r/>
          </w:p>
        </w:tc>
        <w:tc>
          <w:tcPr>
            <w:tcW w:w="297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Životní prostředí</w:t>
            </w:r>
            <w:r/>
          </w:p>
        </w:tc>
      </w:tr>
      <w:tr>
        <w:trPr/>
        <w:tc>
          <w:tcPr>
            <w:tcW w:w="420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2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Zlepší stav ŽP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10</w:t>
            </w:r>
            <w:r/>
          </w:p>
        </w:tc>
        <w:tc>
          <w:tcPr>
            <w:tcW w:w="297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Životní prostředí</w:t>
            </w:r>
            <w:r/>
          </w:p>
        </w:tc>
      </w:tr>
    </w:tbl>
    <w:p>
      <w:pPr>
        <w:pStyle w:val="620"/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</w:r>
      <w:r/>
    </w:p>
    <w:p>
      <w:pPr>
        <w:pStyle w:val="620"/>
        <w:numPr>
          <w:ilvl w:val="0"/>
          <w:numId w:val="4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  <w:u w:val="single"/>
        </w:rPr>
        <w:t xml:space="preserve">regionální význam</w:t>
      </w:r>
      <w:r>
        <w:rPr>
          <w:color w:val="1F497D"/>
          <w:sz w:val="24"/>
          <w:szCs w:val="24"/>
        </w:rPr>
        <w:t xml:space="preserve">: </w:t>
      </w:r>
      <w:r>
        <w:rPr>
          <w:color w:val="1F497D"/>
          <w:sz w:val="24"/>
          <w:szCs w:val="24"/>
        </w:rPr>
        <w:t xml:space="preserve">umožňuje posoudit lokalizaci a určení komunikace, úseku z hlediska regionálního významu</w:t>
      </w:r>
      <w:r>
        <w:rPr>
          <w:color w:val="1F497D"/>
          <w:sz w:val="24"/>
          <w:szCs w:val="24"/>
        </w:rPr>
        <w:t xml:space="preserve"> či s ohledem na budoucí vývoj v dané lokalitě a jiné regionální vlivy</w:t>
      </w:r>
      <w:r>
        <w:rPr>
          <w:color w:val="1F497D"/>
          <w:sz w:val="24"/>
          <w:szCs w:val="24"/>
        </w:rPr>
        <w:t xml:space="preserve">. </w:t>
      </w:r>
      <w:r/>
    </w:p>
    <w:p>
      <w:pPr>
        <w:pStyle w:val="620"/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</w:r>
      <w:r/>
    </w:p>
    <w:tbl>
      <w:tblPr>
        <w:tblStyle w:val="627"/>
        <w:tblW w:w="0" w:type="auto"/>
        <w:tblInd w:w="709" w:type="dxa"/>
        <w:tblLook w:val="04A0" w:firstRow="1" w:lastRow="0" w:firstColumn="1" w:lastColumn="0" w:noHBand="0" w:noVBand="1"/>
      </w:tblPr>
      <w:tblGrid>
        <w:gridCol w:w="1125"/>
        <w:gridCol w:w="3294"/>
        <w:gridCol w:w="1424"/>
        <w:gridCol w:w="2510"/>
      </w:tblGrid>
      <w:tr>
        <w:trPr/>
        <w:tc>
          <w:tcPr>
            <w:tcW w:w="420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Č.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P</w:t>
            </w:r>
            <w:r>
              <w:rPr>
                <w:color w:val="1F497D"/>
                <w:sz w:val="24"/>
                <w:szCs w:val="24"/>
              </w:rPr>
              <w:t xml:space="preserve">opis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body</w:t>
            </w:r>
            <w:r/>
          </w:p>
        </w:tc>
        <w:tc>
          <w:tcPr>
            <w:tcW w:w="297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Kritérium</w:t>
            </w:r>
            <w:r/>
          </w:p>
        </w:tc>
      </w:tr>
      <w:tr>
        <w:trPr/>
        <w:tc>
          <w:tcPr>
            <w:tcW w:w="420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0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Nehodnoceno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0</w:t>
            </w:r>
            <w:r/>
          </w:p>
        </w:tc>
        <w:tc>
          <w:tcPr>
            <w:tcW w:w="297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Regionální význam</w:t>
            </w:r>
            <w:r/>
          </w:p>
        </w:tc>
      </w:tr>
      <w:tr>
        <w:trPr/>
        <w:tc>
          <w:tcPr>
            <w:tcW w:w="420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1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Nízký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2</w:t>
            </w:r>
            <w:r/>
          </w:p>
        </w:tc>
        <w:tc>
          <w:tcPr>
            <w:tcW w:w="297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Regionální význam</w:t>
            </w:r>
            <w:r/>
          </w:p>
        </w:tc>
      </w:tr>
      <w:tr>
        <w:trPr/>
        <w:tc>
          <w:tcPr>
            <w:tcW w:w="420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2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Střední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4</w:t>
            </w:r>
            <w:r/>
          </w:p>
        </w:tc>
        <w:tc>
          <w:tcPr>
            <w:tcW w:w="297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Regionální význam</w:t>
            </w:r>
            <w:r/>
          </w:p>
        </w:tc>
      </w:tr>
      <w:tr>
        <w:trPr/>
        <w:tc>
          <w:tcPr>
            <w:tcW w:w="420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3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Vysoký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7</w:t>
            </w:r>
            <w:r/>
          </w:p>
        </w:tc>
        <w:tc>
          <w:tcPr>
            <w:tcW w:w="297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Regionální význam</w:t>
            </w:r>
            <w:r/>
          </w:p>
        </w:tc>
      </w:tr>
      <w:tr>
        <w:trPr/>
        <w:tc>
          <w:tcPr>
            <w:tcW w:w="420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4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Velmi vysoký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10</w:t>
            </w:r>
            <w:r/>
          </w:p>
        </w:tc>
        <w:tc>
          <w:tcPr>
            <w:tcW w:w="297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Regionální význam</w:t>
            </w:r>
            <w:r/>
          </w:p>
        </w:tc>
      </w:tr>
    </w:tbl>
    <w:p>
      <w:pPr>
        <w:pStyle w:val="620"/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</w:r>
      <w:r/>
    </w:p>
    <w:p>
      <w:pPr>
        <w:pStyle w:val="620"/>
        <w:numPr>
          <w:ilvl w:val="0"/>
          <w:numId w:val="4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  <w:u w:val="single"/>
        </w:rPr>
        <w:t xml:space="preserve">jediná přístupová cesta</w:t>
      </w:r>
      <w:r>
        <w:rPr>
          <w:color w:val="1F497D"/>
          <w:sz w:val="24"/>
          <w:szCs w:val="24"/>
        </w:rPr>
        <w:t xml:space="preserve">:</w:t>
      </w:r>
      <w:r>
        <w:rPr>
          <w:color w:val="1F497D"/>
          <w:sz w:val="24"/>
          <w:szCs w:val="24"/>
        </w:rPr>
        <w:t xml:space="preserve"> </w:t>
      </w:r>
      <w:r>
        <w:rPr>
          <w:color w:val="1F497D"/>
          <w:sz w:val="24"/>
          <w:szCs w:val="24"/>
        </w:rPr>
        <w:t xml:space="preserve">pokud akce leží na komunikaci, tvořící jedinou přístupovou cestu do obce, je možné tuto skutečnost zohlednit</w:t>
      </w:r>
      <w:r>
        <w:rPr>
          <w:color w:val="1F497D"/>
          <w:sz w:val="24"/>
          <w:szCs w:val="24"/>
        </w:rPr>
        <w:t xml:space="preserve">, z důvodu možnosti objízdných tras a zátěže při realizaci dopravní stavby pro místní a okolní obyvatele.</w:t>
      </w:r>
      <w:r/>
    </w:p>
    <w:p>
      <w:pPr>
        <w:pStyle w:val="620"/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</w:r>
      <w:r/>
    </w:p>
    <w:tbl>
      <w:tblPr>
        <w:tblStyle w:val="627"/>
        <w:tblW w:w="0" w:type="auto"/>
        <w:tblInd w:w="709" w:type="dxa"/>
        <w:tblLook w:val="04A0" w:firstRow="1" w:lastRow="0" w:firstColumn="1" w:lastColumn="0" w:noHBand="0" w:noVBand="1"/>
      </w:tblPr>
      <w:tblGrid>
        <w:gridCol w:w="1125"/>
        <w:gridCol w:w="3172"/>
        <w:gridCol w:w="1424"/>
        <w:gridCol w:w="2632"/>
      </w:tblGrid>
      <w:tr>
        <w:trPr/>
        <w:tc>
          <w:tcPr>
            <w:tcW w:w="420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Č.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popis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body</w:t>
            </w:r>
            <w:r/>
          </w:p>
        </w:tc>
        <w:tc>
          <w:tcPr>
            <w:tcW w:w="3113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Kritérium</w:t>
            </w:r>
            <w:r/>
          </w:p>
        </w:tc>
      </w:tr>
      <w:tr>
        <w:trPr/>
        <w:tc>
          <w:tcPr>
            <w:tcW w:w="420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0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Neurčeno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0</w:t>
            </w:r>
            <w:r/>
          </w:p>
        </w:tc>
        <w:tc>
          <w:tcPr>
            <w:tcW w:w="3113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Jediná přístupová cesta</w:t>
            </w:r>
            <w:r/>
          </w:p>
        </w:tc>
      </w:tr>
      <w:tr>
        <w:trPr/>
        <w:tc>
          <w:tcPr>
            <w:tcW w:w="420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1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Ano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10</w:t>
            </w:r>
            <w:r/>
          </w:p>
        </w:tc>
        <w:tc>
          <w:tcPr>
            <w:tcW w:w="3113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Jediná přístupová cesta</w:t>
            </w:r>
            <w:r/>
          </w:p>
        </w:tc>
      </w:tr>
      <w:tr>
        <w:trPr/>
        <w:tc>
          <w:tcPr>
            <w:tcW w:w="420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2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ne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0</w:t>
            </w:r>
            <w:r/>
          </w:p>
        </w:tc>
        <w:tc>
          <w:tcPr>
            <w:tcW w:w="3113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Jediná přístupová cesta</w:t>
            </w:r>
            <w:r/>
          </w:p>
        </w:tc>
      </w:tr>
    </w:tbl>
    <w:p>
      <w:pPr>
        <w:pStyle w:val="620"/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</w:r>
      <w:r/>
    </w:p>
    <w:p>
      <w:pPr>
        <w:pStyle w:val="620"/>
        <w:numPr>
          <w:ilvl w:val="0"/>
          <w:numId w:val="4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  <w:u w:val="single"/>
        </w:rPr>
        <w:t xml:space="preserve">stav přípravy</w:t>
      </w:r>
      <w:r>
        <w:rPr>
          <w:color w:val="1F497D"/>
          <w:sz w:val="24"/>
          <w:szCs w:val="24"/>
        </w:rPr>
        <w:t xml:space="preserve">:</w:t>
      </w:r>
      <w:r>
        <w:rPr>
          <w:color w:val="1F497D"/>
          <w:sz w:val="24"/>
          <w:szCs w:val="24"/>
        </w:rPr>
        <w:t xml:space="preserve"> </w:t>
      </w:r>
      <w:r>
        <w:rPr>
          <w:color w:val="1F497D"/>
          <w:sz w:val="24"/>
          <w:szCs w:val="24"/>
        </w:rPr>
        <w:t xml:space="preserve">kritérium hodnotící stav připravenosti akce k</w:t>
      </w:r>
      <w:r>
        <w:rPr>
          <w:color w:val="1F497D"/>
          <w:sz w:val="24"/>
          <w:szCs w:val="24"/>
        </w:rPr>
        <w:t xml:space="preserve"> </w:t>
      </w:r>
      <w:r>
        <w:rPr>
          <w:color w:val="1F497D"/>
          <w:sz w:val="24"/>
          <w:szCs w:val="24"/>
        </w:rPr>
        <w:t xml:space="preserve">realizaci</w:t>
      </w:r>
      <w:r>
        <w:rPr>
          <w:color w:val="1F497D"/>
          <w:sz w:val="24"/>
          <w:szCs w:val="24"/>
        </w:rPr>
        <w:t xml:space="preserve"> z hlediska projekčních prací a inženýrské činnosti včetně případného majetkoprávního vypořádání</w:t>
      </w:r>
      <w:r>
        <w:rPr>
          <w:color w:val="1F497D"/>
          <w:sz w:val="24"/>
          <w:szCs w:val="24"/>
        </w:rPr>
        <w:t xml:space="preserve">. </w:t>
      </w:r>
      <w:r/>
    </w:p>
    <w:p>
      <w:pPr>
        <w:pStyle w:val="620"/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</w:r>
      <w:r/>
    </w:p>
    <w:tbl>
      <w:tblPr>
        <w:tblStyle w:val="627"/>
        <w:tblW w:w="0" w:type="auto"/>
        <w:tblInd w:w="704" w:type="dxa"/>
        <w:tblLook w:val="04A0" w:firstRow="1" w:lastRow="0" w:firstColumn="1" w:lastColumn="0" w:noHBand="0" w:noVBand="1"/>
      </w:tblPr>
      <w:tblGrid>
        <w:gridCol w:w="1125"/>
        <w:gridCol w:w="3097"/>
        <w:gridCol w:w="1424"/>
        <w:gridCol w:w="2712"/>
      </w:tblGrid>
      <w:tr>
        <w:trPr/>
        <w:tc>
          <w:tcPr>
            <w:tcW w:w="425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Č.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popis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body</w:t>
            </w:r>
            <w:r/>
          </w:p>
        </w:tc>
        <w:tc>
          <w:tcPr>
            <w:tcW w:w="3113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Kritérium</w:t>
            </w:r>
            <w:r/>
          </w:p>
        </w:tc>
      </w:tr>
      <w:tr>
        <w:trPr/>
        <w:tc>
          <w:tcPr>
            <w:tcW w:w="425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0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Neurčeno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0</w:t>
            </w:r>
            <w:r/>
          </w:p>
        </w:tc>
        <w:tc>
          <w:tcPr>
            <w:tcW w:w="3113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Stav připravenosti</w:t>
            </w:r>
            <w:r/>
          </w:p>
        </w:tc>
      </w:tr>
      <w:tr>
        <w:trPr/>
        <w:tc>
          <w:tcPr>
            <w:tcW w:w="425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1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Nízká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2</w:t>
            </w:r>
            <w:r/>
          </w:p>
        </w:tc>
        <w:tc>
          <w:tcPr>
            <w:tcW w:w="3113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Stav připravenosti</w:t>
            </w:r>
            <w:r/>
          </w:p>
        </w:tc>
      </w:tr>
      <w:tr>
        <w:trPr/>
        <w:tc>
          <w:tcPr>
            <w:tcW w:w="425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2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Střední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5</w:t>
            </w:r>
            <w:r/>
          </w:p>
        </w:tc>
        <w:tc>
          <w:tcPr>
            <w:tcW w:w="3113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Stav připravenosti</w:t>
            </w:r>
            <w:r/>
          </w:p>
        </w:tc>
      </w:tr>
      <w:tr>
        <w:trPr/>
        <w:tc>
          <w:tcPr>
            <w:tcW w:w="425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3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Vysoká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8</w:t>
            </w:r>
            <w:r/>
          </w:p>
        </w:tc>
        <w:tc>
          <w:tcPr>
            <w:tcW w:w="3113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Stav připravenosti</w:t>
            </w:r>
            <w:r/>
          </w:p>
        </w:tc>
      </w:tr>
      <w:tr>
        <w:trPr/>
        <w:tc>
          <w:tcPr>
            <w:tcW w:w="425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4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úplná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10</w:t>
            </w:r>
            <w:r/>
          </w:p>
        </w:tc>
        <w:tc>
          <w:tcPr>
            <w:tcW w:w="3113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Stav připravenosti</w:t>
            </w:r>
            <w:r/>
          </w:p>
        </w:tc>
      </w:tr>
    </w:tbl>
    <w:p>
      <w:pPr>
        <w:pStyle w:val="620"/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</w:r>
      <w:r/>
    </w:p>
    <w:p>
      <w:pPr>
        <w:pStyle w:val="620"/>
        <w:numPr>
          <w:ilvl w:val="0"/>
          <w:numId w:val="4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  <w:u w:val="single"/>
        </w:rPr>
        <w:t xml:space="preserve">hromadná doprava</w:t>
      </w:r>
      <w:r>
        <w:rPr>
          <w:color w:val="1F497D"/>
          <w:sz w:val="24"/>
          <w:szCs w:val="24"/>
        </w:rPr>
        <w:t xml:space="preserve">:</w:t>
      </w:r>
      <w:r>
        <w:rPr>
          <w:color w:val="1F497D"/>
          <w:sz w:val="24"/>
          <w:szCs w:val="24"/>
        </w:rPr>
        <w:t xml:space="preserve"> </w:t>
      </w:r>
      <w:r>
        <w:rPr>
          <w:color w:val="1F497D"/>
          <w:sz w:val="24"/>
          <w:szCs w:val="24"/>
        </w:rPr>
        <w:t xml:space="preserve">akce leží na komunikac</w:t>
      </w:r>
      <w:r>
        <w:rPr>
          <w:color w:val="1F497D"/>
          <w:sz w:val="24"/>
          <w:szCs w:val="24"/>
        </w:rPr>
        <w:t xml:space="preserve">i, využívané intenzivně hromadnou dopravou.</w:t>
      </w:r>
      <w:r/>
    </w:p>
    <w:p>
      <w:p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</w:r>
      <w:r/>
    </w:p>
    <w:tbl>
      <w:tblPr>
        <w:tblStyle w:val="627"/>
        <w:tblW w:w="0" w:type="auto"/>
        <w:tblInd w:w="720" w:type="dxa"/>
        <w:tblLook w:val="04A0" w:firstRow="1" w:lastRow="0" w:firstColumn="1" w:lastColumn="0" w:noHBand="0" w:noVBand="1"/>
      </w:tblPr>
      <w:tblGrid>
        <w:gridCol w:w="1125"/>
        <w:gridCol w:w="3017"/>
        <w:gridCol w:w="1424"/>
        <w:gridCol w:w="2776"/>
      </w:tblGrid>
      <w:tr>
        <w:trPr/>
        <w:tc>
          <w:tcPr>
            <w:tcW w:w="693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Č.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popis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body</w:t>
            </w:r>
            <w:r/>
          </w:p>
        </w:tc>
        <w:tc>
          <w:tcPr>
            <w:tcW w:w="3255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kritérium</w:t>
            </w:r>
            <w:r/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0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Neurčeno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0</w:t>
            </w:r>
            <w:r/>
          </w:p>
        </w:tc>
        <w:tc>
          <w:tcPr>
            <w:tcW w:w="3255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Hromadná doprava</w:t>
            </w:r>
            <w:r/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1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Ano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10</w:t>
            </w:r>
            <w:r/>
          </w:p>
        </w:tc>
        <w:tc>
          <w:tcPr>
            <w:tcW w:w="3255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Hromadná doprava</w:t>
            </w:r>
            <w:r/>
          </w:p>
        </w:tc>
      </w:tr>
      <w:tr>
        <w:trPr/>
        <w:tc>
          <w:tcPr>
            <w:tcW w:w="693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2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ne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0</w:t>
            </w:r>
            <w:r/>
          </w:p>
        </w:tc>
        <w:tc>
          <w:tcPr>
            <w:tcW w:w="3255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Hromadná doprava</w:t>
            </w:r>
            <w:r/>
          </w:p>
        </w:tc>
      </w:tr>
    </w:tbl>
    <w:p>
      <w:pPr>
        <w:pStyle w:val="620"/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</w:r>
      <w:r/>
    </w:p>
    <w:p>
      <w:pPr>
        <w:pStyle w:val="620"/>
        <w:numPr>
          <w:ilvl w:val="0"/>
          <w:numId w:val="4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  <w:u w:val="single"/>
        </w:rPr>
        <w:t xml:space="preserve">nehodová lokalita</w:t>
      </w:r>
      <w:r>
        <w:rPr>
          <w:color w:val="1F497D"/>
          <w:sz w:val="24"/>
          <w:szCs w:val="24"/>
        </w:rPr>
        <w:t xml:space="preserve">:</w:t>
      </w:r>
      <w:r>
        <w:rPr>
          <w:color w:val="1F497D"/>
          <w:sz w:val="24"/>
          <w:szCs w:val="24"/>
        </w:rPr>
        <w:t xml:space="preserve"> </w:t>
      </w:r>
      <w:r>
        <w:rPr>
          <w:color w:val="1F497D"/>
          <w:sz w:val="24"/>
          <w:szCs w:val="24"/>
        </w:rPr>
        <w:t xml:space="preserve">do hodnocení </w:t>
      </w:r>
      <w:r>
        <w:rPr>
          <w:color w:val="1F497D"/>
          <w:sz w:val="24"/>
          <w:szCs w:val="24"/>
        </w:rPr>
        <w:t xml:space="preserve">se také zahrnují místa, vyhodnocená jako </w:t>
      </w:r>
      <w:r>
        <w:rPr>
          <w:color w:val="1F497D"/>
          <w:sz w:val="24"/>
          <w:szCs w:val="24"/>
        </w:rPr>
        <w:t xml:space="preserve">nehodová lokalita a </w:t>
      </w:r>
      <w:r>
        <w:rPr>
          <w:color w:val="1F497D"/>
          <w:sz w:val="24"/>
          <w:szCs w:val="24"/>
        </w:rPr>
        <w:t xml:space="preserve">je možné </w:t>
      </w:r>
      <w:r>
        <w:rPr>
          <w:color w:val="1F497D"/>
          <w:sz w:val="24"/>
          <w:szCs w:val="24"/>
        </w:rPr>
        <w:t xml:space="preserve">posoudit bodovou škálou následky těchto dopravních nehod. </w:t>
      </w:r>
      <w:r/>
    </w:p>
    <w:p>
      <w:pPr>
        <w:pStyle w:val="620"/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</w:r>
      <w:r/>
    </w:p>
    <w:tbl>
      <w:tblPr>
        <w:tblStyle w:val="627"/>
        <w:tblW w:w="0" w:type="auto"/>
        <w:tblInd w:w="709" w:type="dxa"/>
        <w:tblLook w:val="04A0" w:firstRow="1" w:lastRow="0" w:firstColumn="1" w:lastColumn="0" w:noHBand="0" w:noVBand="1"/>
      </w:tblPr>
      <w:tblGrid>
        <w:gridCol w:w="1125"/>
        <w:gridCol w:w="3619"/>
        <w:gridCol w:w="1428"/>
        <w:gridCol w:w="2181"/>
      </w:tblGrid>
      <w:tr>
        <w:trPr/>
        <w:tc>
          <w:tcPr>
            <w:tcW w:w="418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Č.</w:t>
            </w:r>
            <w:r/>
          </w:p>
        </w:tc>
        <w:tc>
          <w:tcPr>
            <w:tcW w:w="488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Popis</w:t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Body</w:t>
            </w:r>
            <w:r/>
          </w:p>
        </w:tc>
        <w:tc>
          <w:tcPr>
            <w:tcW w:w="237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Kritérium</w:t>
            </w:r>
            <w:r/>
          </w:p>
        </w:tc>
      </w:tr>
      <w:tr>
        <w:trPr/>
        <w:tc>
          <w:tcPr>
            <w:tcW w:w="418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0</w:t>
            </w:r>
            <w:r/>
          </w:p>
        </w:tc>
        <w:tc>
          <w:tcPr>
            <w:tcW w:w="488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Neurčeno</w:t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0</w:t>
            </w:r>
            <w:r/>
          </w:p>
        </w:tc>
        <w:tc>
          <w:tcPr>
            <w:tcW w:w="237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Nehodové lokality</w:t>
            </w:r>
            <w:r/>
          </w:p>
        </w:tc>
      </w:tr>
      <w:tr>
        <w:trPr/>
        <w:tc>
          <w:tcPr>
            <w:tcW w:w="418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1</w:t>
            </w:r>
            <w:r/>
          </w:p>
        </w:tc>
        <w:tc>
          <w:tcPr>
            <w:tcW w:w="488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Bez nehod</w:t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0</w:t>
            </w:r>
            <w:r/>
          </w:p>
        </w:tc>
        <w:tc>
          <w:tcPr>
            <w:tcW w:w="237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Nehodové lokality</w:t>
            </w:r>
            <w:r/>
          </w:p>
        </w:tc>
      </w:tr>
      <w:tr>
        <w:trPr/>
        <w:tc>
          <w:tcPr>
            <w:tcW w:w="418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2</w:t>
            </w:r>
            <w:r/>
          </w:p>
        </w:tc>
        <w:tc>
          <w:tcPr>
            <w:tcW w:w="488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Nehoda bez následků na zdraví, pouze s hmotnými škodami</w:t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2</w:t>
            </w:r>
            <w:r/>
          </w:p>
        </w:tc>
        <w:tc>
          <w:tcPr>
            <w:tcW w:w="237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Nehodové lokality</w:t>
            </w:r>
            <w:r/>
          </w:p>
        </w:tc>
      </w:tr>
      <w:tr>
        <w:trPr/>
        <w:tc>
          <w:tcPr>
            <w:tcW w:w="418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3</w:t>
            </w:r>
            <w:r/>
          </w:p>
        </w:tc>
        <w:tc>
          <w:tcPr>
            <w:tcW w:w="488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Nehoda s lehkými následky na zdraví</w:t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4</w:t>
            </w:r>
            <w:r/>
          </w:p>
        </w:tc>
        <w:tc>
          <w:tcPr>
            <w:tcW w:w="237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Nehodové lokality</w:t>
            </w:r>
            <w:r/>
          </w:p>
        </w:tc>
      </w:tr>
      <w:tr>
        <w:trPr/>
        <w:tc>
          <w:tcPr>
            <w:tcW w:w="418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4</w:t>
            </w:r>
            <w:r/>
          </w:p>
        </w:tc>
        <w:tc>
          <w:tcPr>
            <w:tcW w:w="488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Nehoda s těžkými následky na zdraví</w:t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7</w:t>
            </w:r>
            <w:r/>
          </w:p>
        </w:tc>
        <w:tc>
          <w:tcPr>
            <w:tcW w:w="237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Nehodové lokality</w:t>
            </w:r>
            <w:r/>
          </w:p>
        </w:tc>
      </w:tr>
      <w:tr>
        <w:trPr/>
        <w:tc>
          <w:tcPr>
            <w:tcW w:w="418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5</w:t>
            </w:r>
            <w:r/>
          </w:p>
        </w:tc>
        <w:tc>
          <w:tcPr>
            <w:tcW w:w="488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Nehoda se smrtelnými následky</w:t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10</w:t>
            </w:r>
            <w:r/>
          </w:p>
        </w:tc>
        <w:tc>
          <w:tcPr>
            <w:tcW w:w="2379" w:type="dxa"/>
            <w:textDirection w:val="lrTb"/>
            <w:noWrap w:val="false"/>
          </w:tcPr>
          <w:p>
            <w:pPr>
              <w:pStyle w:val="620"/>
              <w:numPr>
                <w:ilvl w:val="0"/>
                <w:numId w:val="4"/>
              </w:numPr>
              <w:jc w:val="both"/>
              <w:spacing w:lineRule="auto" w:line="276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Nehodové lokality</w:t>
            </w:r>
            <w:r/>
          </w:p>
        </w:tc>
      </w:tr>
    </w:tbl>
    <w:p>
      <w:p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</w:r>
      <w:r/>
    </w:p>
    <w:p>
      <w:p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Informace k jednotlivým kritériím</w:t>
      </w:r>
      <w:r>
        <w:rPr>
          <w:color w:val="1F497D"/>
          <w:sz w:val="24"/>
          <w:szCs w:val="24"/>
        </w:rPr>
        <w:t xml:space="preserve"> jsou čerpán</w:t>
      </w:r>
      <w:r>
        <w:rPr>
          <w:color w:val="1F497D"/>
          <w:sz w:val="24"/>
          <w:szCs w:val="24"/>
        </w:rPr>
        <w:t xml:space="preserve">y</w:t>
      </w:r>
      <w:r>
        <w:rPr>
          <w:color w:val="1F497D"/>
          <w:sz w:val="24"/>
          <w:szCs w:val="24"/>
        </w:rPr>
        <w:t xml:space="preserve"> krom</w:t>
      </w:r>
      <w:r>
        <w:rPr>
          <w:color w:val="1F497D"/>
          <w:sz w:val="24"/>
          <w:szCs w:val="24"/>
        </w:rPr>
        <w:t xml:space="preserve">ě</w:t>
      </w:r>
      <w:r>
        <w:rPr>
          <w:color w:val="1F497D"/>
          <w:sz w:val="24"/>
          <w:szCs w:val="24"/>
        </w:rPr>
        <w:t xml:space="preserve"> projektové dokumentace</w:t>
      </w:r>
      <w:r>
        <w:rPr>
          <w:color w:val="1F497D"/>
          <w:sz w:val="24"/>
          <w:szCs w:val="24"/>
        </w:rPr>
        <w:t xml:space="preserve"> a dostupných zdrojů dat, zajišťovaných na národní úrovni</w:t>
      </w:r>
      <w:r>
        <w:rPr>
          <w:color w:val="1F497D"/>
          <w:sz w:val="24"/>
          <w:szCs w:val="24"/>
        </w:rPr>
        <w:t xml:space="preserve">, </w:t>
      </w:r>
      <w:r>
        <w:rPr>
          <w:b/>
          <w:color w:val="1F497D"/>
          <w:sz w:val="24"/>
          <w:szCs w:val="24"/>
        </w:rPr>
        <w:t xml:space="preserve">prioritně ze systému CLEVERA</w:t>
      </w:r>
      <w:r>
        <w:rPr>
          <w:color w:val="1F497D"/>
          <w:sz w:val="24"/>
          <w:szCs w:val="24"/>
        </w:rPr>
        <w:t xml:space="preserve">.</w:t>
      </w:r>
      <w:r>
        <w:rPr>
          <w:color w:val="1F497D"/>
          <w:sz w:val="24"/>
          <w:szCs w:val="24"/>
        </w:rPr>
        <w:t xml:space="preserve"> </w:t>
      </w:r>
      <w:r>
        <w:rPr>
          <w:color w:val="1F497D"/>
          <w:sz w:val="24"/>
          <w:szCs w:val="24"/>
        </w:rPr>
        <w:t xml:space="preserve">Každé z uvedených kritérií obsahuje rozdělení bodové škály</w:t>
      </w:r>
      <w:r>
        <w:rPr>
          <w:color w:val="1F497D"/>
          <w:sz w:val="24"/>
          <w:szCs w:val="24"/>
        </w:rPr>
        <w:t xml:space="preserve">,</w:t>
      </w:r>
      <w:r>
        <w:rPr>
          <w:color w:val="1F497D"/>
          <w:sz w:val="24"/>
          <w:szCs w:val="24"/>
        </w:rPr>
        <w:t xml:space="preserve"> a to s ohledem na dosažitelnosti informací. Výsledkem je pak celkové bodové hodnocení akce, které je dáno </w:t>
      </w:r>
      <w:r>
        <w:rPr>
          <w:color w:val="1F497D"/>
          <w:sz w:val="24"/>
          <w:szCs w:val="24"/>
          <w:u w:val="single"/>
        </w:rPr>
        <w:t xml:space="preserve">součtem bodů za</w:t>
      </w:r>
      <w:r>
        <w:rPr>
          <w:color w:val="1F497D"/>
          <w:sz w:val="24"/>
          <w:szCs w:val="24"/>
          <w:u w:val="single"/>
        </w:rPr>
        <w:t xml:space="preserve"> </w:t>
      </w:r>
      <w:r>
        <w:rPr>
          <w:color w:val="1F497D"/>
          <w:sz w:val="24"/>
          <w:szCs w:val="24"/>
          <w:u w:val="single"/>
        </w:rPr>
        <w:t xml:space="preserve">jednotlivá kritéria vynásobená váhou daných kritérií</w:t>
      </w:r>
      <w:r>
        <w:rPr>
          <w:color w:val="1F497D"/>
          <w:sz w:val="24"/>
          <w:szCs w:val="24"/>
        </w:rPr>
        <w:t xml:space="preserve">.</w:t>
      </w:r>
      <w:r/>
    </w:p>
    <w:p>
      <w:p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</w:r>
      <w:r/>
    </w:p>
    <w:p>
      <w:p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Váhy daných kritérií u jednotlivých druhů dopravních staveb:</w:t>
      </w:r>
      <w:r/>
    </w:p>
    <w:p>
      <w:p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</w:r>
      <w:r/>
    </w:p>
    <w:p>
      <w:pPr>
        <w:pStyle w:val="620"/>
        <w:numPr>
          <w:ilvl w:val="0"/>
          <w:numId w:val="7"/>
        </w:numPr>
        <w:jc w:val="both"/>
        <w:spacing w:lineRule="auto" w:line="276"/>
        <w:rPr>
          <w:color w:val="1F497D"/>
          <w:sz w:val="24"/>
          <w:szCs w:val="24"/>
          <w:u w:val="single"/>
        </w:rPr>
      </w:pPr>
      <w:r>
        <w:rPr>
          <w:color w:val="1F497D"/>
          <w:sz w:val="24"/>
          <w:szCs w:val="24"/>
          <w:u w:val="single"/>
        </w:rPr>
        <w:t xml:space="preserve">opravy a rekonstrukce silnic</w:t>
      </w:r>
      <w:r/>
    </w:p>
    <w:p>
      <w:pPr>
        <w:pStyle w:val="620"/>
        <w:numPr>
          <w:ilvl w:val="1"/>
          <w:numId w:val="7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dopravní zatížení</w:t>
      </w:r>
      <w:r>
        <w:rPr>
          <w:color w:val="1F497D"/>
          <w:sz w:val="24"/>
          <w:szCs w:val="24"/>
        </w:rPr>
        <w:t xml:space="preserve"> 0,7</w:t>
      </w:r>
      <w:r/>
    </w:p>
    <w:p>
      <w:pPr>
        <w:pStyle w:val="620"/>
        <w:numPr>
          <w:ilvl w:val="1"/>
          <w:numId w:val="7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spolufinancování</w:t>
      </w:r>
      <w:r>
        <w:rPr>
          <w:color w:val="1F497D"/>
          <w:sz w:val="24"/>
          <w:szCs w:val="24"/>
        </w:rPr>
        <w:t xml:space="preserve"> 0,5</w:t>
      </w:r>
      <w:r/>
    </w:p>
    <w:p>
      <w:pPr>
        <w:pStyle w:val="620"/>
        <w:numPr>
          <w:ilvl w:val="1"/>
          <w:numId w:val="7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dopravní význam</w:t>
      </w:r>
      <w:r>
        <w:rPr>
          <w:color w:val="1F497D"/>
          <w:sz w:val="24"/>
          <w:szCs w:val="24"/>
        </w:rPr>
        <w:t xml:space="preserve"> 0,</w:t>
      </w:r>
      <w:r>
        <w:rPr>
          <w:color w:val="1F497D"/>
          <w:sz w:val="24"/>
          <w:szCs w:val="24"/>
        </w:rPr>
        <w:t xml:space="preserve">2</w:t>
      </w:r>
      <w:r/>
    </w:p>
    <w:p>
      <w:pPr>
        <w:pStyle w:val="620"/>
        <w:numPr>
          <w:ilvl w:val="1"/>
          <w:numId w:val="7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technický stav</w:t>
      </w:r>
      <w:r>
        <w:rPr>
          <w:color w:val="1F497D"/>
          <w:sz w:val="24"/>
          <w:szCs w:val="24"/>
        </w:rPr>
        <w:t xml:space="preserve"> 0,8</w:t>
      </w:r>
      <w:r/>
    </w:p>
    <w:p>
      <w:pPr>
        <w:pStyle w:val="620"/>
        <w:numPr>
          <w:ilvl w:val="1"/>
          <w:numId w:val="7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stavební stav</w:t>
      </w:r>
      <w:r>
        <w:rPr>
          <w:color w:val="1F497D"/>
          <w:sz w:val="24"/>
          <w:szCs w:val="24"/>
        </w:rPr>
        <w:t xml:space="preserve"> 1</w:t>
      </w:r>
      <w:r/>
    </w:p>
    <w:p>
      <w:pPr>
        <w:pStyle w:val="620"/>
        <w:numPr>
          <w:ilvl w:val="1"/>
          <w:numId w:val="7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životní prostředí</w:t>
      </w:r>
      <w:r>
        <w:rPr>
          <w:color w:val="1F497D"/>
          <w:sz w:val="24"/>
          <w:szCs w:val="24"/>
        </w:rPr>
        <w:t xml:space="preserve"> 0,</w:t>
      </w:r>
      <w:r>
        <w:rPr>
          <w:color w:val="1F497D"/>
          <w:sz w:val="24"/>
          <w:szCs w:val="24"/>
        </w:rPr>
        <w:t xml:space="preserve">2</w:t>
      </w:r>
      <w:r/>
    </w:p>
    <w:p>
      <w:pPr>
        <w:pStyle w:val="620"/>
        <w:numPr>
          <w:ilvl w:val="1"/>
          <w:numId w:val="7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regionální význam</w:t>
      </w:r>
      <w:r>
        <w:rPr>
          <w:color w:val="1F497D"/>
          <w:sz w:val="24"/>
          <w:szCs w:val="24"/>
        </w:rPr>
        <w:t xml:space="preserve"> 0,7</w:t>
      </w:r>
      <w:r/>
    </w:p>
    <w:p>
      <w:pPr>
        <w:pStyle w:val="620"/>
        <w:numPr>
          <w:ilvl w:val="1"/>
          <w:numId w:val="7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jediná přístupová cesta</w:t>
      </w:r>
      <w:r>
        <w:rPr>
          <w:color w:val="1F497D"/>
          <w:sz w:val="24"/>
          <w:szCs w:val="24"/>
        </w:rPr>
        <w:t xml:space="preserve"> 0,3</w:t>
      </w:r>
      <w:r/>
    </w:p>
    <w:p>
      <w:pPr>
        <w:pStyle w:val="620"/>
        <w:numPr>
          <w:ilvl w:val="1"/>
          <w:numId w:val="7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stav přípravy</w:t>
      </w:r>
      <w:r>
        <w:rPr>
          <w:color w:val="1F497D"/>
          <w:sz w:val="24"/>
          <w:szCs w:val="24"/>
        </w:rPr>
        <w:t xml:space="preserve"> 1</w:t>
      </w:r>
      <w:r/>
    </w:p>
    <w:p>
      <w:pPr>
        <w:pStyle w:val="620"/>
        <w:numPr>
          <w:ilvl w:val="1"/>
          <w:numId w:val="7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hromadná doprava</w:t>
      </w:r>
      <w:r>
        <w:rPr>
          <w:color w:val="1F497D"/>
          <w:sz w:val="24"/>
          <w:szCs w:val="24"/>
        </w:rPr>
        <w:t xml:space="preserve"> 0,5</w:t>
      </w:r>
      <w:r/>
    </w:p>
    <w:p>
      <w:pPr>
        <w:pStyle w:val="620"/>
        <w:numPr>
          <w:ilvl w:val="1"/>
          <w:numId w:val="7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nehodová lokalita</w:t>
      </w:r>
      <w:r>
        <w:rPr>
          <w:color w:val="1F497D"/>
          <w:sz w:val="24"/>
          <w:szCs w:val="24"/>
        </w:rPr>
        <w:t xml:space="preserve"> 0,2</w:t>
      </w:r>
      <w:r/>
    </w:p>
    <w:p>
      <w:pPr>
        <w:pStyle w:val="620"/>
        <w:ind w:left="1440"/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</w:r>
      <w:r/>
    </w:p>
    <w:p>
      <w:pPr>
        <w:pStyle w:val="620"/>
        <w:numPr>
          <w:ilvl w:val="0"/>
          <w:numId w:val="7"/>
        </w:numPr>
        <w:jc w:val="both"/>
        <w:spacing w:lineRule="auto" w:line="276"/>
        <w:rPr>
          <w:color w:val="1F497D"/>
          <w:sz w:val="24"/>
          <w:szCs w:val="24"/>
          <w:u w:val="single"/>
        </w:rPr>
      </w:pPr>
      <w:r>
        <w:rPr>
          <w:color w:val="1F497D"/>
          <w:sz w:val="24"/>
          <w:szCs w:val="24"/>
          <w:u w:val="single"/>
        </w:rPr>
        <w:t xml:space="preserve">mostní objekty a propustky</w:t>
      </w:r>
      <w:r/>
    </w:p>
    <w:p>
      <w:pPr>
        <w:pStyle w:val="620"/>
        <w:numPr>
          <w:ilvl w:val="1"/>
          <w:numId w:val="7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dopravní zatížení</w:t>
      </w:r>
      <w:r>
        <w:rPr>
          <w:color w:val="1F497D"/>
          <w:sz w:val="24"/>
          <w:szCs w:val="24"/>
        </w:rPr>
        <w:t xml:space="preserve"> 0,1</w:t>
      </w:r>
      <w:r/>
    </w:p>
    <w:p>
      <w:pPr>
        <w:pStyle w:val="620"/>
        <w:numPr>
          <w:ilvl w:val="1"/>
          <w:numId w:val="7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spolufinancování</w:t>
      </w:r>
      <w:r>
        <w:rPr>
          <w:color w:val="1F497D"/>
          <w:sz w:val="24"/>
          <w:szCs w:val="24"/>
        </w:rPr>
        <w:t xml:space="preserve"> 0,4</w:t>
      </w:r>
      <w:r/>
    </w:p>
    <w:p>
      <w:pPr>
        <w:pStyle w:val="620"/>
        <w:numPr>
          <w:ilvl w:val="1"/>
          <w:numId w:val="7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dopravní význam</w:t>
      </w:r>
      <w:r>
        <w:rPr>
          <w:color w:val="1F497D"/>
          <w:sz w:val="24"/>
          <w:szCs w:val="24"/>
        </w:rPr>
        <w:t xml:space="preserve"> 0,3</w:t>
      </w:r>
      <w:r/>
    </w:p>
    <w:p>
      <w:pPr>
        <w:pStyle w:val="620"/>
        <w:numPr>
          <w:ilvl w:val="1"/>
          <w:numId w:val="7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technický stav</w:t>
      </w:r>
      <w:r>
        <w:rPr>
          <w:color w:val="1F497D"/>
          <w:sz w:val="24"/>
          <w:szCs w:val="24"/>
        </w:rPr>
        <w:t xml:space="preserve"> 0,1</w:t>
      </w:r>
      <w:r/>
    </w:p>
    <w:p>
      <w:pPr>
        <w:pStyle w:val="620"/>
        <w:numPr>
          <w:ilvl w:val="1"/>
          <w:numId w:val="7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stavební stav</w:t>
      </w:r>
      <w:r>
        <w:rPr>
          <w:color w:val="1F497D"/>
          <w:sz w:val="24"/>
          <w:szCs w:val="24"/>
        </w:rPr>
        <w:t xml:space="preserve"> 1</w:t>
      </w:r>
      <w:r/>
    </w:p>
    <w:p>
      <w:pPr>
        <w:pStyle w:val="620"/>
        <w:numPr>
          <w:ilvl w:val="1"/>
          <w:numId w:val="7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životní prostředí</w:t>
      </w:r>
      <w:r>
        <w:rPr>
          <w:color w:val="1F497D"/>
          <w:sz w:val="24"/>
          <w:szCs w:val="24"/>
        </w:rPr>
        <w:t xml:space="preserve"> 0</w:t>
      </w:r>
      <w:r/>
    </w:p>
    <w:p>
      <w:pPr>
        <w:pStyle w:val="620"/>
        <w:numPr>
          <w:ilvl w:val="1"/>
          <w:numId w:val="7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regionální význam</w:t>
      </w:r>
      <w:r>
        <w:rPr>
          <w:color w:val="1F497D"/>
          <w:sz w:val="24"/>
          <w:szCs w:val="24"/>
        </w:rPr>
        <w:t xml:space="preserve"> 0,1</w:t>
      </w:r>
      <w:r/>
    </w:p>
    <w:p>
      <w:pPr>
        <w:pStyle w:val="620"/>
        <w:numPr>
          <w:ilvl w:val="1"/>
          <w:numId w:val="7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jediná přístupová cesta</w:t>
      </w:r>
      <w:r>
        <w:rPr>
          <w:color w:val="1F497D"/>
          <w:sz w:val="24"/>
          <w:szCs w:val="24"/>
        </w:rPr>
        <w:t xml:space="preserve"> 0,5</w:t>
      </w:r>
      <w:r/>
    </w:p>
    <w:p>
      <w:pPr>
        <w:pStyle w:val="620"/>
        <w:numPr>
          <w:ilvl w:val="1"/>
          <w:numId w:val="7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stav přípravy</w:t>
      </w:r>
      <w:r>
        <w:rPr>
          <w:color w:val="1F497D"/>
          <w:sz w:val="24"/>
          <w:szCs w:val="24"/>
        </w:rPr>
        <w:t xml:space="preserve"> 0,5</w:t>
      </w:r>
      <w:r/>
    </w:p>
    <w:p>
      <w:pPr>
        <w:pStyle w:val="620"/>
        <w:numPr>
          <w:ilvl w:val="1"/>
          <w:numId w:val="7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hromadná doprava</w:t>
      </w:r>
      <w:r>
        <w:rPr>
          <w:color w:val="1F497D"/>
          <w:sz w:val="24"/>
          <w:szCs w:val="24"/>
        </w:rPr>
        <w:t xml:space="preserve"> 0,4</w:t>
      </w:r>
      <w:r/>
    </w:p>
    <w:p>
      <w:pPr>
        <w:pStyle w:val="620"/>
        <w:numPr>
          <w:ilvl w:val="1"/>
          <w:numId w:val="7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nehodová lokalita</w:t>
      </w:r>
      <w:r>
        <w:rPr>
          <w:color w:val="1F497D"/>
          <w:sz w:val="24"/>
          <w:szCs w:val="24"/>
        </w:rPr>
        <w:t xml:space="preserve"> 0</w:t>
      </w:r>
      <w:r/>
    </w:p>
    <w:p>
      <w:pPr>
        <w:pStyle w:val="620"/>
        <w:ind w:left="1440"/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</w:r>
      <w:r/>
    </w:p>
    <w:p>
      <w:pPr>
        <w:pStyle w:val="620"/>
        <w:numPr>
          <w:ilvl w:val="0"/>
          <w:numId w:val="7"/>
        </w:numPr>
        <w:jc w:val="both"/>
        <w:spacing w:lineRule="auto" w:line="276"/>
        <w:rPr>
          <w:color w:val="1F497D"/>
          <w:sz w:val="24"/>
          <w:szCs w:val="24"/>
          <w:u w:val="single"/>
        </w:rPr>
      </w:pPr>
      <w:r>
        <w:rPr>
          <w:color w:val="1F497D"/>
          <w:sz w:val="24"/>
          <w:szCs w:val="24"/>
          <w:u w:val="single"/>
        </w:rPr>
        <w:t xml:space="preserve">řešení bodové závady a/nebo bezpečnostního rizika (okružní či jiné křižovatky, rizikové zatáčky, opěrné zdi, skalní masivy, překážky, apod.)</w:t>
      </w:r>
      <w:r/>
    </w:p>
    <w:p>
      <w:pPr>
        <w:pStyle w:val="620"/>
        <w:numPr>
          <w:ilvl w:val="1"/>
          <w:numId w:val="7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dopravní zatížení</w:t>
      </w:r>
      <w:r>
        <w:rPr>
          <w:color w:val="1F497D"/>
          <w:sz w:val="24"/>
          <w:szCs w:val="24"/>
        </w:rPr>
        <w:t xml:space="preserve"> 0,6</w:t>
      </w:r>
      <w:r/>
    </w:p>
    <w:p>
      <w:pPr>
        <w:pStyle w:val="620"/>
        <w:numPr>
          <w:ilvl w:val="1"/>
          <w:numId w:val="7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spolufinancování</w:t>
      </w:r>
      <w:r>
        <w:rPr>
          <w:color w:val="1F497D"/>
          <w:sz w:val="24"/>
          <w:szCs w:val="24"/>
        </w:rPr>
        <w:t xml:space="preserve"> 0,8</w:t>
      </w:r>
      <w:r/>
    </w:p>
    <w:p>
      <w:pPr>
        <w:pStyle w:val="620"/>
        <w:numPr>
          <w:ilvl w:val="1"/>
          <w:numId w:val="7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dopravní význam</w:t>
      </w:r>
      <w:r>
        <w:rPr>
          <w:color w:val="1F497D"/>
          <w:sz w:val="24"/>
          <w:szCs w:val="24"/>
        </w:rPr>
        <w:t xml:space="preserve"> 0,7</w:t>
      </w:r>
      <w:r/>
    </w:p>
    <w:p>
      <w:pPr>
        <w:pStyle w:val="620"/>
        <w:numPr>
          <w:ilvl w:val="1"/>
          <w:numId w:val="7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technický stav</w:t>
      </w:r>
      <w:r>
        <w:rPr>
          <w:color w:val="1F497D"/>
          <w:sz w:val="24"/>
          <w:szCs w:val="24"/>
        </w:rPr>
        <w:t xml:space="preserve"> 1</w:t>
      </w:r>
      <w:r/>
    </w:p>
    <w:p>
      <w:pPr>
        <w:pStyle w:val="620"/>
        <w:numPr>
          <w:ilvl w:val="1"/>
          <w:numId w:val="7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stavební stav</w:t>
      </w:r>
      <w:r>
        <w:rPr>
          <w:color w:val="1F497D"/>
          <w:sz w:val="24"/>
          <w:szCs w:val="24"/>
        </w:rPr>
        <w:t xml:space="preserve"> 1</w:t>
      </w:r>
      <w:r/>
    </w:p>
    <w:p>
      <w:pPr>
        <w:pStyle w:val="620"/>
        <w:numPr>
          <w:ilvl w:val="1"/>
          <w:numId w:val="7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životní prostředí</w:t>
      </w:r>
      <w:r>
        <w:rPr>
          <w:color w:val="1F497D"/>
          <w:sz w:val="24"/>
          <w:szCs w:val="24"/>
        </w:rPr>
        <w:t xml:space="preserve"> 0</w:t>
      </w:r>
      <w:r/>
    </w:p>
    <w:p>
      <w:pPr>
        <w:pStyle w:val="620"/>
        <w:numPr>
          <w:ilvl w:val="1"/>
          <w:numId w:val="7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regionální význam</w:t>
      </w:r>
      <w:r>
        <w:rPr>
          <w:color w:val="1F497D"/>
          <w:sz w:val="24"/>
          <w:szCs w:val="24"/>
        </w:rPr>
        <w:t xml:space="preserve"> 0,3</w:t>
      </w:r>
      <w:r/>
    </w:p>
    <w:p>
      <w:pPr>
        <w:pStyle w:val="620"/>
        <w:numPr>
          <w:ilvl w:val="1"/>
          <w:numId w:val="7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jediná přístupová cesta</w:t>
      </w:r>
      <w:r>
        <w:rPr>
          <w:color w:val="1F497D"/>
          <w:sz w:val="24"/>
          <w:szCs w:val="24"/>
        </w:rPr>
        <w:t xml:space="preserve"> 0</w:t>
      </w:r>
      <w:r/>
    </w:p>
    <w:p>
      <w:pPr>
        <w:pStyle w:val="620"/>
        <w:numPr>
          <w:ilvl w:val="1"/>
          <w:numId w:val="7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stav přípravy</w:t>
      </w:r>
      <w:r>
        <w:rPr>
          <w:color w:val="1F497D"/>
          <w:sz w:val="24"/>
          <w:szCs w:val="24"/>
        </w:rPr>
        <w:t xml:space="preserve"> 0,8</w:t>
      </w:r>
      <w:r/>
    </w:p>
    <w:p>
      <w:pPr>
        <w:pStyle w:val="620"/>
        <w:numPr>
          <w:ilvl w:val="1"/>
          <w:numId w:val="7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hromadná doprava</w:t>
      </w:r>
      <w:r>
        <w:rPr>
          <w:color w:val="1F497D"/>
          <w:sz w:val="24"/>
          <w:szCs w:val="24"/>
        </w:rPr>
        <w:t xml:space="preserve"> 0</w:t>
      </w:r>
      <w:r/>
    </w:p>
    <w:p>
      <w:pPr>
        <w:pStyle w:val="620"/>
        <w:numPr>
          <w:ilvl w:val="1"/>
          <w:numId w:val="7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nehodová lokalita</w:t>
      </w:r>
      <w:r>
        <w:rPr>
          <w:color w:val="1F497D"/>
          <w:sz w:val="24"/>
          <w:szCs w:val="24"/>
        </w:rPr>
        <w:t xml:space="preserve"> 1</w:t>
      </w:r>
      <w:r/>
    </w:p>
    <w:p>
      <w:pPr>
        <w:pStyle w:val="620"/>
        <w:ind w:left="1440"/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</w:r>
      <w:r/>
    </w:p>
    <w:p>
      <w:pPr>
        <w:pStyle w:val="620"/>
        <w:numPr>
          <w:ilvl w:val="0"/>
          <w:numId w:val="7"/>
        </w:numPr>
        <w:jc w:val="both"/>
        <w:spacing w:lineRule="auto" w:line="276"/>
        <w:rPr>
          <w:color w:val="1F497D"/>
          <w:sz w:val="24"/>
          <w:szCs w:val="24"/>
          <w:u w:val="single"/>
        </w:rPr>
      </w:pPr>
      <w:r>
        <w:rPr>
          <w:color w:val="1F497D"/>
          <w:sz w:val="24"/>
          <w:szCs w:val="24"/>
          <w:u w:val="single"/>
        </w:rPr>
        <w:t xml:space="preserve">novostavby (obchvaty, přeložky, propojky)</w:t>
      </w:r>
      <w:r/>
    </w:p>
    <w:p>
      <w:pPr>
        <w:pStyle w:val="620"/>
        <w:numPr>
          <w:ilvl w:val="1"/>
          <w:numId w:val="7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dopravní zatížení</w:t>
      </w:r>
      <w:r>
        <w:rPr>
          <w:color w:val="1F497D"/>
          <w:sz w:val="24"/>
          <w:szCs w:val="24"/>
        </w:rPr>
        <w:t xml:space="preserve"> 0,7</w:t>
      </w:r>
      <w:r/>
    </w:p>
    <w:p>
      <w:pPr>
        <w:pStyle w:val="620"/>
        <w:numPr>
          <w:ilvl w:val="1"/>
          <w:numId w:val="7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spolufinancování</w:t>
      </w:r>
      <w:r>
        <w:rPr>
          <w:color w:val="1F497D"/>
          <w:sz w:val="24"/>
          <w:szCs w:val="24"/>
        </w:rPr>
        <w:t xml:space="preserve"> 0,8</w:t>
      </w:r>
      <w:r/>
    </w:p>
    <w:p>
      <w:pPr>
        <w:pStyle w:val="620"/>
        <w:numPr>
          <w:ilvl w:val="1"/>
          <w:numId w:val="7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dopravní význam</w:t>
      </w:r>
      <w:r>
        <w:rPr>
          <w:color w:val="1F497D"/>
          <w:sz w:val="24"/>
          <w:szCs w:val="24"/>
        </w:rPr>
        <w:t xml:space="preserve"> 1</w:t>
      </w:r>
      <w:r/>
    </w:p>
    <w:p>
      <w:pPr>
        <w:pStyle w:val="620"/>
        <w:numPr>
          <w:ilvl w:val="1"/>
          <w:numId w:val="7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technický stav</w:t>
      </w:r>
      <w:r>
        <w:rPr>
          <w:color w:val="1F497D"/>
          <w:sz w:val="24"/>
          <w:szCs w:val="24"/>
        </w:rPr>
        <w:t xml:space="preserve"> 0</w:t>
      </w:r>
      <w:r/>
    </w:p>
    <w:p>
      <w:pPr>
        <w:pStyle w:val="620"/>
        <w:numPr>
          <w:ilvl w:val="1"/>
          <w:numId w:val="7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stavební stav</w:t>
      </w:r>
      <w:r>
        <w:rPr>
          <w:color w:val="1F497D"/>
          <w:sz w:val="24"/>
          <w:szCs w:val="24"/>
        </w:rPr>
        <w:t xml:space="preserve"> 0</w:t>
      </w:r>
      <w:r/>
    </w:p>
    <w:p>
      <w:pPr>
        <w:pStyle w:val="620"/>
        <w:numPr>
          <w:ilvl w:val="1"/>
          <w:numId w:val="7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životní prostředí</w:t>
      </w:r>
      <w:r>
        <w:rPr>
          <w:color w:val="1F497D"/>
          <w:sz w:val="24"/>
          <w:szCs w:val="24"/>
        </w:rPr>
        <w:t xml:space="preserve"> 0,7</w:t>
      </w:r>
      <w:r/>
    </w:p>
    <w:p>
      <w:pPr>
        <w:pStyle w:val="620"/>
        <w:numPr>
          <w:ilvl w:val="1"/>
          <w:numId w:val="7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regionální význam</w:t>
      </w:r>
      <w:r>
        <w:rPr>
          <w:color w:val="1F497D"/>
          <w:sz w:val="24"/>
          <w:szCs w:val="24"/>
        </w:rPr>
        <w:t xml:space="preserve"> 1</w:t>
      </w:r>
      <w:r/>
    </w:p>
    <w:p>
      <w:pPr>
        <w:pStyle w:val="620"/>
        <w:numPr>
          <w:ilvl w:val="1"/>
          <w:numId w:val="7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jediná přístupová cesta</w:t>
      </w:r>
      <w:r>
        <w:rPr>
          <w:color w:val="1F497D"/>
          <w:sz w:val="24"/>
          <w:szCs w:val="24"/>
        </w:rPr>
        <w:t xml:space="preserve"> 0</w:t>
      </w:r>
      <w:r/>
    </w:p>
    <w:p>
      <w:pPr>
        <w:pStyle w:val="620"/>
        <w:numPr>
          <w:ilvl w:val="1"/>
          <w:numId w:val="7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stav přípravy</w:t>
      </w:r>
      <w:r>
        <w:rPr>
          <w:color w:val="1F497D"/>
          <w:sz w:val="24"/>
          <w:szCs w:val="24"/>
        </w:rPr>
        <w:t xml:space="preserve"> 1</w:t>
      </w:r>
      <w:r/>
    </w:p>
    <w:p>
      <w:pPr>
        <w:pStyle w:val="620"/>
        <w:numPr>
          <w:ilvl w:val="1"/>
          <w:numId w:val="7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hromadná doprava</w:t>
      </w:r>
      <w:r>
        <w:rPr>
          <w:color w:val="1F497D"/>
          <w:sz w:val="24"/>
          <w:szCs w:val="24"/>
        </w:rPr>
        <w:t xml:space="preserve"> 0 </w:t>
      </w:r>
      <w:r/>
    </w:p>
    <w:p>
      <w:pPr>
        <w:pStyle w:val="620"/>
        <w:numPr>
          <w:ilvl w:val="1"/>
          <w:numId w:val="7"/>
        </w:num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nehodová lokalita</w:t>
      </w:r>
      <w:r>
        <w:rPr>
          <w:color w:val="1F497D"/>
          <w:sz w:val="24"/>
          <w:szCs w:val="24"/>
        </w:rPr>
        <w:t xml:space="preserve"> 0</w:t>
      </w:r>
      <w:r/>
    </w:p>
    <w:p>
      <w:pPr>
        <w:pStyle w:val="620"/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</w:r>
      <w:r/>
    </w:p>
    <w:p>
      <w:p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</w:r>
      <w:r/>
    </w:p>
    <w:p>
      <w:p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</w:r>
      <w:r/>
    </w:p>
    <w:p>
      <w:pPr>
        <w:jc w:val="both"/>
        <w:spacing w:lineRule="auto" w:line="276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Prioritně je naším cílem zrealizovat každou dopravní stavbu, jež je naprojektována. Nemalujeme do šuplíku. Připravený projekt má životnost podmíněnou platnými p</w:t>
      </w:r>
      <w:r>
        <w:rPr>
          <w:color w:val="1F497D"/>
          <w:sz w:val="24"/>
          <w:szCs w:val="24"/>
        </w:rPr>
        <w:t xml:space="preserve">ovoleními a stanovisky, rozpočtem, který je vytvořen v určité cenové hladině daného roku a také v neposlední řadě, jak je výše uvedeno stavebním stavem, jenž se v průběhu let horší, což může vyústit v krajním případě až k potřebě nového technického řešení.</w:t>
      </w:r>
      <w:r/>
    </w:p>
    <w:p>
      <w:r/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Courier New">
    <w:panose1 w:val="02070309020205020404"/>
  </w:font>
  <w:font w:name="Wingdings">
    <w:panose1 w:val="05010000000000000000"/>
  </w:font>
  <w:font w:name="Segoe UI">
    <w:panose1 w:val="020B050204050402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430" w:hanging="360"/>
      </w:pPr>
      <w:rPr>
        <w:rFonts w:ascii="Calibri" w:hAnsi="Calibri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59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75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cs-CZ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17"/>
    <w:link w:val="614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17"/>
    <w:link w:val="615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17"/>
    <w:link w:val="616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3"/>
    <w:next w:val="613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1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3"/>
    <w:next w:val="613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1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3"/>
    <w:next w:val="613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1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3"/>
    <w:next w:val="61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1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3"/>
    <w:next w:val="61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1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3"/>
    <w:next w:val="61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17"/>
    <w:link w:val="2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17"/>
    <w:link w:val="623"/>
    <w:uiPriority w:val="10"/>
    <w:rPr>
      <w:sz w:val="48"/>
      <w:szCs w:val="48"/>
    </w:rPr>
  </w:style>
  <w:style w:type="paragraph" w:styleId="34">
    <w:name w:val="Subtitle"/>
    <w:basedOn w:val="613"/>
    <w:next w:val="613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17"/>
    <w:link w:val="34"/>
    <w:uiPriority w:val="11"/>
    <w:rPr>
      <w:sz w:val="24"/>
      <w:szCs w:val="24"/>
    </w:rPr>
  </w:style>
  <w:style w:type="paragraph" w:styleId="36">
    <w:name w:val="Quote"/>
    <w:basedOn w:val="613"/>
    <w:next w:val="61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3"/>
    <w:next w:val="613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3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7"/>
    <w:link w:val="40"/>
    <w:uiPriority w:val="99"/>
  </w:style>
  <w:style w:type="paragraph" w:styleId="42">
    <w:name w:val="Footer"/>
    <w:basedOn w:val="613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7"/>
    <w:link w:val="42"/>
    <w:uiPriority w:val="99"/>
  </w:style>
  <w:style w:type="paragraph" w:styleId="44">
    <w:name w:val="Caption"/>
    <w:basedOn w:val="613"/>
    <w:next w:val="61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13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7"/>
    <w:uiPriority w:val="99"/>
    <w:unhideWhenUsed/>
    <w:rPr>
      <w:vertAlign w:val="superscript"/>
    </w:rPr>
  </w:style>
  <w:style w:type="paragraph" w:styleId="176">
    <w:name w:val="endnote text"/>
    <w:basedOn w:val="613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7"/>
    <w:uiPriority w:val="99"/>
    <w:semiHidden/>
    <w:unhideWhenUsed/>
    <w:rPr>
      <w:vertAlign w:val="superscript"/>
    </w:rPr>
  </w:style>
  <w:style w:type="paragraph" w:styleId="179">
    <w:name w:val="toc 1"/>
    <w:basedOn w:val="613"/>
    <w:next w:val="61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3"/>
    <w:next w:val="61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3"/>
    <w:next w:val="61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3"/>
    <w:next w:val="61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3"/>
    <w:next w:val="61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3"/>
    <w:next w:val="61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3"/>
    <w:next w:val="61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3"/>
    <w:next w:val="61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3"/>
    <w:next w:val="61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3"/>
    <w:next w:val="613"/>
    <w:uiPriority w:val="99"/>
    <w:unhideWhenUsed/>
    <w:pPr>
      <w:spacing w:after="0" w:afterAutospacing="0"/>
    </w:pPr>
  </w:style>
  <w:style w:type="paragraph" w:styleId="613" w:default="1">
    <w:name w:val="Normal"/>
    <w:qFormat/>
    <w:rPr>
      <w:rFonts w:ascii="Calibri" w:hAnsi="Calibri" w:cs="Calibri"/>
    </w:rPr>
    <w:pPr>
      <w:spacing w:lineRule="auto" w:line="240" w:after="0"/>
    </w:pPr>
  </w:style>
  <w:style w:type="paragraph" w:styleId="614">
    <w:name w:val="Heading 1"/>
    <w:basedOn w:val="613"/>
    <w:next w:val="613"/>
    <w:link w:val="621"/>
    <w:qFormat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  <w:pPr>
      <w:keepLines/>
      <w:keepNext/>
      <w:spacing w:before="240"/>
      <w:outlineLvl w:val="0"/>
    </w:pPr>
  </w:style>
  <w:style w:type="paragraph" w:styleId="615">
    <w:name w:val="Heading 2"/>
    <w:basedOn w:val="613"/>
    <w:next w:val="613"/>
    <w:link w:val="622"/>
    <w:qFormat/>
    <w:uiPriority w:val="9"/>
    <w:unhideWhenUsed/>
    <w:rPr>
      <w:rFonts w:asciiTheme="majorHAnsi" w:hAnsiTheme="majorHAnsi" w:eastAsiaTheme="majorEastAsia" w:cstheme="majorBidi"/>
      <w:color w:val="2E74B5" w:themeColor="accent1" w:themeShade="BF"/>
      <w:sz w:val="26"/>
      <w:szCs w:val="26"/>
    </w:rPr>
    <w:pPr>
      <w:keepLines/>
      <w:keepNext/>
      <w:spacing w:before="40"/>
      <w:outlineLvl w:val="1"/>
    </w:pPr>
  </w:style>
  <w:style w:type="paragraph" w:styleId="616">
    <w:name w:val="Heading 3"/>
    <w:basedOn w:val="613"/>
    <w:next w:val="613"/>
    <w:link w:val="625"/>
    <w:qFormat/>
    <w:uiPriority w:val="9"/>
    <w:unhideWhenUsed/>
    <w:rPr>
      <w:rFonts w:asciiTheme="majorHAnsi" w:hAnsiTheme="majorHAnsi" w:eastAsiaTheme="majorEastAsia" w:cstheme="majorBidi"/>
      <w:color w:val="1F4D78" w:themeColor="accent1" w:themeShade="7F"/>
      <w:sz w:val="24"/>
      <w:szCs w:val="24"/>
    </w:rPr>
    <w:pPr>
      <w:keepLines/>
      <w:keepNext/>
      <w:spacing w:before="40"/>
      <w:outlineLvl w:val="2"/>
    </w:pPr>
  </w:style>
  <w:style w:type="character" w:styleId="617" w:default="1">
    <w:name w:val="Default Paragraph Font"/>
    <w:uiPriority w:val="1"/>
    <w:semiHidden/>
    <w:unhideWhenUsed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List Paragraph"/>
    <w:basedOn w:val="613"/>
    <w:qFormat/>
    <w:uiPriority w:val="34"/>
    <w:pPr>
      <w:ind w:left="720"/>
    </w:pPr>
  </w:style>
  <w:style w:type="character" w:styleId="621" w:customStyle="1">
    <w:name w:val="Nadpis 1 Char"/>
    <w:basedOn w:val="617"/>
    <w:link w:val="614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622" w:customStyle="1">
    <w:name w:val="Nadpis 2 Char"/>
    <w:basedOn w:val="617"/>
    <w:link w:val="615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623">
    <w:name w:val="Title"/>
    <w:basedOn w:val="613"/>
    <w:next w:val="613"/>
    <w:link w:val="624"/>
    <w:qFormat/>
    <w:uiPriority w:val="10"/>
    <w:rPr>
      <w:rFonts w:asciiTheme="majorHAnsi" w:hAnsiTheme="majorHAnsi" w:eastAsiaTheme="majorEastAsia" w:cstheme="majorBidi"/>
      <w:spacing w:val="-10"/>
      <w:sz w:val="56"/>
      <w:szCs w:val="56"/>
    </w:rPr>
    <w:pPr>
      <w:contextualSpacing w:val="true"/>
    </w:pPr>
  </w:style>
  <w:style w:type="character" w:styleId="624" w:customStyle="1">
    <w:name w:val="Název Char"/>
    <w:basedOn w:val="617"/>
    <w:link w:val="623"/>
    <w:uiPriority w:val="10"/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625" w:customStyle="1">
    <w:name w:val="Nadpis 3 Char"/>
    <w:basedOn w:val="617"/>
    <w:link w:val="616"/>
    <w:uiPriority w:val="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626">
    <w:name w:val="No Spacing"/>
    <w:qFormat/>
    <w:uiPriority w:val="1"/>
    <w:rPr>
      <w:rFonts w:ascii="Calibri" w:hAnsi="Calibri" w:cs="Calibri"/>
    </w:rPr>
    <w:pPr>
      <w:spacing w:lineRule="auto" w:line="240" w:after="0"/>
    </w:pPr>
  </w:style>
  <w:style w:type="table" w:styleId="627">
    <w:name w:val="Table Grid"/>
    <w:basedOn w:val="61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628">
    <w:name w:val="annotation reference"/>
    <w:basedOn w:val="617"/>
    <w:uiPriority w:val="99"/>
    <w:semiHidden/>
    <w:unhideWhenUsed/>
    <w:rPr>
      <w:sz w:val="16"/>
      <w:szCs w:val="16"/>
    </w:rPr>
  </w:style>
  <w:style w:type="paragraph" w:styleId="629">
    <w:name w:val="annotation text"/>
    <w:basedOn w:val="613"/>
    <w:link w:val="630"/>
    <w:uiPriority w:val="99"/>
    <w:semiHidden/>
    <w:unhideWhenUsed/>
    <w:rPr>
      <w:sz w:val="20"/>
      <w:szCs w:val="20"/>
    </w:rPr>
  </w:style>
  <w:style w:type="character" w:styleId="630" w:customStyle="1">
    <w:name w:val="Text komentáře Char"/>
    <w:basedOn w:val="617"/>
    <w:link w:val="629"/>
    <w:uiPriority w:val="99"/>
    <w:semiHidden/>
    <w:rPr>
      <w:rFonts w:ascii="Calibri" w:hAnsi="Calibri" w:cs="Calibri"/>
      <w:sz w:val="20"/>
      <w:szCs w:val="20"/>
    </w:rPr>
  </w:style>
  <w:style w:type="paragraph" w:styleId="631">
    <w:name w:val="annotation subject"/>
    <w:basedOn w:val="629"/>
    <w:next w:val="629"/>
    <w:link w:val="632"/>
    <w:uiPriority w:val="99"/>
    <w:semiHidden/>
    <w:unhideWhenUsed/>
    <w:rPr>
      <w:b/>
      <w:bCs/>
    </w:rPr>
  </w:style>
  <w:style w:type="character" w:styleId="632" w:customStyle="1">
    <w:name w:val="Předmět komentáře Char"/>
    <w:basedOn w:val="630"/>
    <w:link w:val="631"/>
    <w:uiPriority w:val="99"/>
    <w:semiHidden/>
    <w:rPr>
      <w:rFonts w:ascii="Calibri" w:hAnsi="Calibri" w:cs="Calibri"/>
      <w:b/>
      <w:bCs/>
      <w:sz w:val="20"/>
      <w:szCs w:val="20"/>
    </w:rPr>
  </w:style>
  <w:style w:type="paragraph" w:styleId="633">
    <w:name w:val="Balloon Text"/>
    <w:basedOn w:val="613"/>
    <w:link w:val="63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34" w:customStyle="1">
    <w:name w:val="Text bubliny Char"/>
    <w:basedOn w:val="617"/>
    <w:link w:val="63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ONLYOFFICE/6.4.0.121</Application>
  <Company>Krajská správa a údržba silnic středočeského kraje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 Aleš</dc:creator>
  <cp:keywords/>
  <dc:description/>
  <cp:lastModifiedBy>Jiří Snížek</cp:lastModifiedBy>
  <cp:revision>4</cp:revision>
  <dcterms:created xsi:type="dcterms:W3CDTF">2021-04-06T05:32:00Z</dcterms:created>
  <dcterms:modified xsi:type="dcterms:W3CDTF">2021-10-04T09:49:02Z</dcterms:modified>
</cp:coreProperties>
</file>