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lineRule="atLeast" w:line="235"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single" w:color="8CACBB" w:sz="6" w:space="0"/>
        </w:pBdr>
      </w:pPr>
      <w:r>
        <w:rPr>
          <w:rFonts w:ascii="Arial" w:hAnsi="Arial" w:cs="Arial" w:eastAsia="Arial"/>
          <w:color w:val="000000"/>
          <w:sz w:val="32"/>
        </w:rPr>
        <w:t xml:space="preserve">Pravidla pro přijímání členů</w:t>
      </w:r>
      <w:r/>
    </w:p>
    <w:p>
      <w:pPr>
        <w:ind w:left="0" w:right="0" w:firstLine="0"/>
        <w:spacing w:lineRule="atLeast" w:line="235" w:after="96" w:before="24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9"/>
        </w:rPr>
        <w:t xml:space="preserve">Čl. 1 Řízení o přijetí člena</w:t>
      </w:r>
      <w:r/>
    </w:p>
    <w:p>
      <w:pPr>
        <w:ind w:left="0" w:right="0" w:firstLine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(1) Za řízení o přijetí člena (dále jen „řízení“) se považuje proces, který vede k hlasování o přijetí zájemce o členství (dále jen „zájemce“) k Mladým pirátům (dále jen MP). Cílem tohoto řízení je, aby mohla rada Mladých Pirátů (dále jen rada MP) rozhodno</w:t>
      </w:r>
      <w:r>
        <w:rPr>
          <w:rFonts w:ascii="Arial" w:hAnsi="Arial" w:cs="Arial" w:eastAsia="Arial"/>
          <w:color w:val="000000"/>
          <w:sz w:val="21"/>
        </w:rPr>
        <w:t xml:space="preserve">ut o přijetí zájemce v souladu s </w:t>
      </w:r>
      <w:hyperlink r:id="rId8" w:tooltip="https://www.pirati.cz/program/dlouhodoby/minimum/" w:history="1">
        <w:r>
          <w:rPr>
            <w:rStyle w:val="552"/>
            <w:rFonts w:ascii="Arial" w:hAnsi="Arial" w:cs="Arial" w:eastAsia="Arial"/>
            <w:color w:val="009DDC"/>
            <w:sz w:val="21"/>
            <w:u w:val="none"/>
          </w:rPr>
          <w:t xml:space="preserve">demokratickým minimem</w:t>
        </w:r>
      </w:hyperlink>
      <w:r>
        <w:rPr>
          <w:rFonts w:ascii="Arial" w:hAnsi="Arial" w:cs="Arial" w:eastAsia="Arial"/>
          <w:color w:val="000000"/>
          <w:sz w:val="21"/>
        </w:rPr>
        <w:t xml:space="preserve">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(2) Řízení je vedeno v souladu s těmito pravidly radou MP.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(3) Zástupce rady MP poučuje zájemce o průběhu řízení a pomáhá mu se splněním podmínek pro hlasování o jeho přijetí (čl. 3 odst. 2 a 3).</w:t>
      </w:r>
      <w:r/>
    </w:p>
    <w:p>
      <w:pPr>
        <w:ind w:left="0" w:right="0" w:firstLine="0"/>
        <w:spacing w:lineRule="atLeast" w:line="235" w:after="96" w:before="24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9"/>
        </w:rPr>
        <w:t xml:space="preserve">Čl. 2 Zahájení řízení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(1) Řízení je zahájeno tím, že zájemce veřejně na technickém systému strany projeví zájem o vstup do MP.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(2) Zástupce rady MP neprodleně oznámí tuto informaci zbytku rady.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</w:r>
      <w:commentRangeStart w:id="0"/>
      <w:commentRangeStart w:id="1"/>
      <w:r>
        <w:rPr>
          <w:rFonts w:ascii="Arial" w:hAnsi="Arial" w:cs="Arial" w:eastAsia="Arial"/>
          <w:color w:val="000000"/>
          <w:sz w:val="21"/>
        </w:rPr>
        <w:t xml:space="preserve">(3) Po zahájení řízení zašle zástupce rady MP dotazník nebo set otázek (dále jen dotazník) zájemci o členství.</w:t>
      </w:r>
      <w:commentRangeEnd w:id="0"/>
      <w:commentRangeEnd w:id="1"/>
      <w:r>
        <w:commentReference w:id="0"/>
        <w:commentReference w:id="1"/>
      </w:r>
      <w:r/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(4) Řízení o přijetí člena nelze zahájit, pokud bylo v předchozích 90 dnech ukončeno jiné řízení o stejné osobě.</w:t>
      </w:r>
      <w:r/>
    </w:p>
    <w:p>
      <w:pPr>
        <w:ind w:left="0" w:right="0" w:firstLine="0"/>
        <w:spacing w:lineRule="atLeast" w:line="235" w:after="96" w:before="24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9"/>
        </w:rPr>
        <w:t xml:space="preserve">Čl. 3 Hlasování o přijetí zájemce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(1) O přijetí zájemce rozhoduje</w:t>
      </w:r>
      <w:r>
        <w:rPr>
          <w:rFonts w:ascii="Arial" w:hAnsi="Arial" w:cs="Arial" w:eastAsia="Arial"/>
          <w:color w:val="000000"/>
          <w:sz w:val="21"/>
        </w:rPr>
        <w:t xml:space="preserve"> </w:t>
      </w:r>
      <w:r>
        <w:rPr>
          <w:rFonts w:ascii="Arial" w:hAnsi="Arial" w:cs="Arial" w:eastAsia="Arial"/>
          <w:color w:val="000000"/>
          <w:sz w:val="21"/>
        </w:rPr>
        <w:t xml:space="preserve">rada MP.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(2) Před hlasováním o přijetí zájemce radou MP je nutné, aby:</w:t>
      </w:r>
      <w:r/>
    </w:p>
    <w:p>
      <w:pPr>
        <w:numPr>
          <w:ilvl w:val="0"/>
          <w:numId w:val="1"/>
        </w:numPr>
        <w:spacing w:lineRule="atLeast" w:line="300"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a) se zájemce zúčastnil aspoň jednoho zasedání MP, na kterém byl vyhrazen čas pro členy MP pro kladení dotazů zájemci,</w:t>
      </w:r>
      <w:r/>
    </w:p>
    <w:p>
      <w:pPr>
        <w:numPr>
          <w:ilvl w:val="0"/>
          <w:numId w:val="1"/>
        </w:numPr>
        <w:spacing w:lineRule="atLeast" w:line="300"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b) zájemce vytvořil příspěvek na technickém systému strany, kde se představí a umožní členům MP klást mu dotazy (dále jen „představení zájemce“) po dobu nejméně 7 dnů,</w:t>
      </w:r>
      <w:r/>
    </w:p>
    <w:p>
      <w:pPr>
        <w:numPr>
          <w:ilvl w:val="0"/>
          <w:numId w:val="1"/>
        </w:numPr>
        <w:spacing w:lineRule="atLeast" w:line="300"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c) zájemce vyplnil dotazník (čl. 2 odst. 3) a zveřejnil ho na technickém systému strany.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(3) Před hlasováním o přijetí zájemce radou MP je nutné, aby:</w:t>
      </w:r>
      <w:r/>
    </w:p>
    <w:p>
      <w:pPr>
        <w:numPr>
          <w:ilvl w:val="0"/>
          <w:numId w:val="2"/>
        </w:numPr>
        <w:spacing w:lineRule="atLeast" w:line="300"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a) se zájemce zúčastnil aspoň dvou schůzí MP,</w:t>
      </w:r>
      <w:r/>
    </w:p>
    <w:p>
      <w:pPr>
        <w:numPr>
          <w:ilvl w:val="0"/>
          <w:numId w:val="2"/>
        </w:numPr>
        <w:spacing w:lineRule="atLeast" w:line="300"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b) se zájemce zúčastnil aspoň jednoho zasedání MP, na kterém byl vyhrazen čas pro členy MP pro kladení dotazů zájemci,</w:t>
      </w:r>
      <w:r/>
    </w:p>
    <w:p>
      <w:pPr>
        <w:numPr>
          <w:ilvl w:val="0"/>
          <w:numId w:val="2"/>
        </w:numPr>
        <w:spacing w:lineRule="atLeast" w:line="300"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c) zájemce vytvořil příspěvek na technickém systému strany, kde se představí a umožní členům MP klást mu dotazy (dále jen „představení zájemce“) po dobu nejméně 7 dnů,</w:t>
      </w:r>
      <w:r/>
    </w:p>
    <w:p>
      <w:pPr>
        <w:numPr>
          <w:ilvl w:val="0"/>
          <w:numId w:val="2"/>
        </w:numPr>
        <w:spacing w:lineRule="atLeast" w:line="300"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d) zájemce vyplnil dotazník (čl. 2 odst. 3) a zveřejnil ho na technickém systému strany.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(4) Uplyne-li lhůta dle odst. 2 pís. a marně, má se za to, že rada MP stvrdila usnesením prověření obsahu přihlášky.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(5) Odpovědná rada má povinnost rozhodnout o přijetí člena nejpozději 45 dnů po splnění podmínek pro přípustnost hlasování (odst. 2, odst. 3).</w:t>
      </w:r>
      <w:r/>
    </w:p>
    <w:p>
      <w:pPr>
        <w:ind w:left="0" w:right="0" w:firstLine="0"/>
        <w:spacing w:lineRule="atLeast" w:line="235" w:after="96" w:before="240"/>
        <w:shd w:val="clear" w:color="auto" w:fill="FFFFFF"/>
        <w:rPr>
          <w:rFonts w:ascii="Arial" w:hAnsi="Arial" w:cs="Arial" w:eastAsia="Arial"/>
          <w:b/>
          <w:color w:val="000000"/>
          <w:sz w:val="29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9"/>
        </w:rPr>
      </w:r>
      <w:r/>
    </w:p>
    <w:p>
      <w:pPr>
        <w:ind w:left="0" w:right="0" w:firstLine="0"/>
        <w:spacing w:lineRule="atLeast" w:line="235" w:after="96" w:before="240"/>
        <w:shd w:val="clear" w:color="auto" w:fill="FFFFFF"/>
        <w:rPr>
          <w:rFonts w:ascii="Calibri" w:hAnsi="Calibri" w:cs="Calibri" w:eastAsia="Calibri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9"/>
        </w:rPr>
        <w:t xml:space="preserve">Čl. 4 Úloha rady Mladých Pirátů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(1) Rada MP určuje usnesením způsob představení zájemce (čl. 3 odst. 2 pís. d a odst. 3 pís. b) a obsah dotazníku pro zájemce o členství (čl. 2 odst. 3).</w:t>
      </w:r>
      <w:r/>
    </w:p>
    <w:p>
      <w:pPr>
        <w:ind w:left="0" w:right="0" w:firstLine="0"/>
        <w:spacing w:lineRule="atLeast" w:line="235" w:after="96" w:before="24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9"/>
        </w:rPr>
        <w:t xml:space="preserve">Čl. 5 Ukončení řízení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(1) Řízení končí hlasováním o přijetí člena radou MP. Nepřijetí musí být zdůvodněno.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(2) Řízení může být odpovědnou radou ukončeno též předčasně, pokud je přijetí zájemce do strany v rozporu s vnitřními předpisy, nebo na žádost zájemce.</w:t>
      </w:r>
      <w:r/>
    </w:p>
    <w:p>
      <w:pPr>
        <w:ind w:left="0" w:right="0" w:firstLine="0"/>
        <w:spacing w:lineRule="atLeast" w:line="235" w:after="96" w:before="24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9"/>
        </w:rPr>
        <w:t xml:space="preserve">Čl. 6 Poučení nového člena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(1) Určený zástupce rady MP zajistí poučení nového člena o obsahu stanov a o právech a povinnostech člena MP.</w:t>
      </w:r>
      <w:r/>
    </w:p>
    <w:p>
      <w:pPr>
        <w:ind w:left="0" w:right="0" w:firstLine="0"/>
        <w:spacing w:after="24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1"/>
        </w:rPr>
        <w:t xml:space="preserve">(2) Určený zástupce rady MP zajistí poučení nového člena o technických systémech strany v rozsahu nutném pro obvyklý výkon práv a povinností člena MP.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omáš Guth Jarkovský" w:date="2021-02-21T19:29:00Z" oodata="teamlab_data:0;20;2021-02-21T18:29:00Z;" w:initials="TGJ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jsem celkem proti, je to otravné a zbytečné</w:t>
      </w:r>
    </w:p>
  </w:comment>
  <w:comment w:id="1" w:author="Josef Bouše" w:date="2021-02-21T19:45:03Z" oodata="teamlab_data:0;20;2021-02-21T18:45:03Z;" w:initials="JB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Otázky na foru dáváme, počítá se to jako set otázek na foru které dostane ... nemeli bychom podle mě přijmout úplně neznáme lidi.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paraIdParent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F935CBF"/>
  <w16cid:commentId w16cid:paraId="00000002" w16cid:durableId="60E642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Bouše">
    <w15:presenceInfo w15:providerId="Teamlab" w15:userId="ocvcw8lda1t5_josef.bouse"/>
  </w15:person>
  <w15:person w15:author="Tomáš Guth Jarkovský">
    <w15:presenceInfo w15:providerId="Teamlab" w15:userId="ocvcw8lda1t5_tomas.guth.jarkovsky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6"/>
    <w:next w:val="566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basedOn w:val="566"/>
    <w:next w:val="566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basedOn w:val="566"/>
    <w:next w:val="566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6"/>
    <w:next w:val="566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6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paragraph" w:styleId="424">
    <w:name w:val="Caption"/>
    <w:basedOn w:val="566"/>
    <w:next w:val="5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5">
    <w:name w:val="Caption Char"/>
    <w:basedOn w:val="424"/>
    <w:link w:val="422"/>
    <w:uiPriority w:val="99"/>
  </w:style>
  <w:style w:type="table" w:styleId="426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No Spacing"/>
    <w:basedOn w:val="566"/>
    <w:qFormat/>
    <w:uiPriority w:val="1"/>
    <w:pPr>
      <w:spacing w:lineRule="auto" w:line="240" w:after="0"/>
    </w:pPr>
  </w:style>
  <w:style w:type="paragraph" w:styleId="570">
    <w:name w:val="List Paragraph"/>
    <w:basedOn w:val="566"/>
    <w:qFormat/>
    <w:uiPriority w:val="34"/>
    <w:pPr>
      <w:contextualSpacing w:val="true"/>
      <w:ind w:left="720"/>
    </w:pPr>
  </w:style>
  <w:style w:type="character" w:styleId="57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www.pirati.cz/program/dlouhodoby/minimum/" TargetMode="External"/><Relationship Id="rId9" Type="http://schemas.openxmlformats.org/officeDocument/2006/relationships/comments" Target="comments.xml" /><Relationship Id="rId10" Type="http://schemas.microsoft.com/office/2011/relationships/commentsExtended" Target="commentsExtended.xml" /><Relationship Id="rId11" Type="http://schemas.microsoft.com/office/2016/09/relationships/commentsIds" Target="commentsIds.xml" /><Relationship Id="rId12" Type="http://schemas.microsoft.com/office/2011/relationships/people" Target="people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Josef Bouše</cp:lastModifiedBy>
  <cp:revision>3</cp:revision>
  <dcterms:modified xsi:type="dcterms:W3CDTF">2021-02-26T15:10:40Z</dcterms:modified>
</cp:coreProperties>
</file>