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01F" w:rsidRPr="00E36177" w:rsidRDefault="000B69EB" w:rsidP="00214A5A">
      <w:pPr>
        <w:tabs>
          <w:tab w:val="left" w:pos="0"/>
        </w:tabs>
        <w:spacing w:after="0" w:line="240" w:lineRule="auto"/>
        <w:ind w:left="426" w:hanging="426"/>
        <w:jc w:val="center"/>
        <w:rPr>
          <w:b/>
        </w:rPr>
      </w:pPr>
      <w:bookmarkStart w:id="0" w:name="_GoBack"/>
      <w:bookmarkEnd w:id="0"/>
      <w:r w:rsidRPr="00E36177">
        <w:rPr>
          <w:b/>
        </w:rPr>
        <w:t>Obchodní podmínky</w:t>
      </w:r>
      <w:r w:rsidR="00A33B74" w:rsidRPr="00E36177">
        <w:rPr>
          <w:b/>
        </w:rPr>
        <w:t xml:space="preserve"> </w:t>
      </w:r>
      <w:r w:rsidRPr="00E36177">
        <w:rPr>
          <w:b/>
        </w:rPr>
        <w:t>Společnosti ThePay</w:t>
      </w:r>
      <w:r w:rsidR="00214A5A" w:rsidRPr="00E36177">
        <w:rPr>
          <w:b/>
        </w:rPr>
        <w:t xml:space="preserve"> </w:t>
      </w:r>
      <w:r w:rsidR="0080301F" w:rsidRPr="00E36177">
        <w:rPr>
          <w:b/>
        </w:rPr>
        <w:t>pro Nadační bránu</w:t>
      </w:r>
    </w:p>
    <w:p w:rsidR="004F3F29" w:rsidRDefault="004428F1" w:rsidP="00E36177">
      <w:pPr>
        <w:numPr>
          <w:ilvl w:val="0"/>
          <w:numId w:val="1"/>
        </w:numPr>
        <w:spacing w:before="240" w:after="120" w:line="240" w:lineRule="auto"/>
        <w:ind w:left="0" w:firstLine="0"/>
        <w:jc w:val="center"/>
      </w:pPr>
      <w:r>
        <w:rPr>
          <w:b/>
          <w:sz w:val="18"/>
          <w:szCs w:val="18"/>
        </w:rPr>
        <w:t>Definice pojmů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Společností ThePay</w:t>
      </w:r>
      <w:r w:rsidRPr="00A33B74">
        <w:rPr>
          <w:sz w:val="17"/>
          <w:szCs w:val="17"/>
        </w:rPr>
        <w:t xml:space="preserve">“ se rozumí společnost ThePay.cz, s.r.o., IČ: 281 35 261, se sídlem </w:t>
      </w:r>
      <w:r w:rsidR="00161656">
        <w:rPr>
          <w:sz w:val="17"/>
          <w:szCs w:val="17"/>
        </w:rPr>
        <w:t>Masarykovo náměstí 102</w:t>
      </w:r>
      <w:r w:rsidR="00161656">
        <w:rPr>
          <w:sz w:val="17"/>
          <w:szCs w:val="17"/>
          <w:lang w:val="en-US"/>
        </w:rPr>
        <w:t>/</w:t>
      </w:r>
      <w:r w:rsidR="00161656">
        <w:rPr>
          <w:sz w:val="17"/>
          <w:szCs w:val="17"/>
        </w:rPr>
        <w:t>65</w:t>
      </w:r>
      <w:r w:rsidRPr="00A33B74">
        <w:rPr>
          <w:sz w:val="17"/>
          <w:szCs w:val="17"/>
        </w:rPr>
        <w:t>, 586 01 Jihlava zapsaná v obchodním rejstříku vedeném u Krajského soudu v Brně, oddíl C, vložka 88388. Stejný význam jako Společnost ThePay má také zkratka „</w:t>
      </w:r>
      <w:r w:rsidRPr="00A33B74">
        <w:rPr>
          <w:b/>
          <w:sz w:val="17"/>
          <w:szCs w:val="17"/>
        </w:rPr>
        <w:t>ThePay</w:t>
      </w:r>
      <w:r w:rsidRPr="00A33B74">
        <w:rPr>
          <w:sz w:val="17"/>
          <w:szCs w:val="17"/>
        </w:rPr>
        <w:t>“ používaná v těchto Podmínkách. ThePay je vydavatelem elektronických peněz malého rozsahu podle ust. § 53 a násl. zákona č. 284/2009 Sb., o platebním styku.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ZPS</w:t>
      </w:r>
      <w:r w:rsidRPr="00A33B74">
        <w:rPr>
          <w:sz w:val="17"/>
          <w:szCs w:val="17"/>
        </w:rPr>
        <w:t xml:space="preserve">“ se rozumí zákon č. 284/2009 Sb., o platebním styku, ve znění pozdějších předpisů. 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Partnerem</w:t>
      </w:r>
      <w:r w:rsidRPr="00A33B74">
        <w:rPr>
          <w:sz w:val="17"/>
          <w:szCs w:val="17"/>
        </w:rPr>
        <w:t xml:space="preserve">“ se rozumí právnická osoba, která je na základě Smlouvy oprávněna užívat </w:t>
      </w:r>
      <w:r w:rsidR="0080301F">
        <w:rPr>
          <w:sz w:val="17"/>
          <w:szCs w:val="17"/>
        </w:rPr>
        <w:t>Nadační bránu</w:t>
      </w:r>
      <w:r w:rsidRPr="00A33B74">
        <w:rPr>
          <w:sz w:val="17"/>
          <w:szCs w:val="17"/>
        </w:rPr>
        <w:t xml:space="preserve"> ThePay Systému, a která má na základě Smlouvy zřízen ThePay Účet. Partner je držitelem elektronických peněz podle ust. § 1 písm. d) ZPS.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Smlouvou</w:t>
      </w:r>
      <w:r w:rsidRPr="00A33B74">
        <w:rPr>
          <w:sz w:val="17"/>
          <w:szCs w:val="17"/>
        </w:rPr>
        <w:t>“ se rozumí smlouva mezi ThePay a Partnerem, na základě kte</w:t>
      </w:r>
      <w:r w:rsidR="001A2420">
        <w:rPr>
          <w:sz w:val="17"/>
          <w:szCs w:val="17"/>
        </w:rPr>
        <w:t xml:space="preserve">ré je Partner oprávněn užívat Nadační bránu v ThePay Systému. </w:t>
      </w:r>
      <w:r w:rsidRPr="00A33B74">
        <w:rPr>
          <w:sz w:val="17"/>
          <w:szCs w:val="17"/>
        </w:rPr>
        <w:t>Na základě Smlouvy je dále zřízen ThePay Účet, a na základě této Smlouvy jsou Partnerovi vydávány Elektronické peníze.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ThePay Účtem</w:t>
      </w:r>
      <w:r w:rsidRPr="00A33B74">
        <w:rPr>
          <w:sz w:val="17"/>
          <w:szCs w:val="17"/>
        </w:rPr>
        <w:t>“ se rozumí zabezpečené prostředí v ThePay Systému, který je na základě Smlouvy přidělen Partnerovi, a na kterém jsou uchovávány Elektronické peníze.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Elektronickými penězi</w:t>
      </w:r>
      <w:r w:rsidRPr="00A33B74">
        <w:rPr>
          <w:sz w:val="17"/>
          <w:szCs w:val="17"/>
        </w:rPr>
        <w:t>“ je podle ust. § 4 odst. 1 ZPS peněžní hodnota, která a) představuje pohledávku vůči tomu, kdo ji vydal, b) je uchovávána elektronicky, c) je vydávána proti přijetí peněžních prostředků za účelem provádění platebních transakcí a d) je přijímána jinými osobami než tím, kdo ji vydal.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ThePay Systém</w:t>
      </w:r>
      <w:r w:rsidRPr="00A33B74">
        <w:rPr>
          <w:sz w:val="17"/>
          <w:szCs w:val="17"/>
        </w:rPr>
        <w:t>“ je IT řešení umožňující provádění platebních transakcí, zejména operace s Elektronickými penězi, tj. a) Vydání Elektronických peněz, b) Placení Elektronickými penězi, c) Zpětnou výměnu Elektronických peněz.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Vydáním Elektronických peněz</w:t>
      </w:r>
      <w:r w:rsidRPr="00A33B74">
        <w:rPr>
          <w:sz w:val="17"/>
          <w:szCs w:val="17"/>
        </w:rPr>
        <w:t>“ se rozumí výměna peněžních prostředků, jejichž příjemcem je ThePay, za Elektronické peníze ve výši odpovídající jmenovité hodnotě peněžních prostředků.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Platbou Elektronickými penězi</w:t>
      </w:r>
      <w:r w:rsidRPr="00A33B74">
        <w:rPr>
          <w:sz w:val="17"/>
          <w:szCs w:val="17"/>
        </w:rPr>
        <w:t>“ se rozumí elektronická operace mezi Partnery, kteří mohou Elektronickými penězi p</w:t>
      </w:r>
      <w:r w:rsidR="006274C0">
        <w:rPr>
          <w:sz w:val="17"/>
          <w:szCs w:val="17"/>
        </w:rPr>
        <w:t>latit, probíhající mezi ThePay Ú</w:t>
      </w:r>
      <w:r w:rsidRPr="00A33B74">
        <w:rPr>
          <w:sz w:val="17"/>
          <w:szCs w:val="17"/>
        </w:rPr>
        <w:t>čty, a to vž</w:t>
      </w:r>
      <w:r w:rsidR="006274C0">
        <w:rPr>
          <w:sz w:val="17"/>
          <w:szCs w:val="17"/>
        </w:rPr>
        <w:t>dy tak, že je z jednoho ThePay Ú</w:t>
      </w:r>
      <w:r w:rsidRPr="00A33B74">
        <w:rPr>
          <w:sz w:val="17"/>
          <w:szCs w:val="17"/>
        </w:rPr>
        <w:t>čtu odečtena p</w:t>
      </w:r>
      <w:r w:rsidR="006274C0">
        <w:rPr>
          <w:sz w:val="17"/>
          <w:szCs w:val="17"/>
        </w:rPr>
        <w:t xml:space="preserve">říslušná částka a na druhý </w:t>
      </w:r>
      <w:r w:rsidRPr="00A33B74">
        <w:rPr>
          <w:sz w:val="17"/>
          <w:szCs w:val="17"/>
        </w:rPr>
        <w:t xml:space="preserve">ThePay </w:t>
      </w:r>
      <w:r w:rsidR="006274C0">
        <w:rPr>
          <w:sz w:val="17"/>
          <w:szCs w:val="17"/>
        </w:rPr>
        <w:t xml:space="preserve">Účet </w:t>
      </w:r>
      <w:r w:rsidRPr="00A33B74">
        <w:rPr>
          <w:sz w:val="17"/>
          <w:szCs w:val="17"/>
        </w:rPr>
        <w:t>příslušná částka přičtena.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Zpětnou výměnou Elektronických peněz</w:t>
      </w:r>
      <w:r w:rsidRPr="00A33B74">
        <w:rPr>
          <w:sz w:val="17"/>
          <w:szCs w:val="17"/>
        </w:rPr>
        <w:t>“ se rozumí výměna elektronických peněz za bankovky, mince nebo bezhotovostní peněžní prostředky ve výši odpovídající jmenovité hodnotě vyměňovaných elektronických peněz, provedená Společností ThePay na žádost Partnera.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Operacemi s elektronickými penězi</w:t>
      </w:r>
      <w:r w:rsidRPr="00A33B74">
        <w:rPr>
          <w:sz w:val="17"/>
          <w:szCs w:val="17"/>
        </w:rPr>
        <w:t>“ se souhrnně rozumí pojmy pod body 1.8, 1.9 a 1.10.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="00D966D4">
        <w:rPr>
          <w:b/>
          <w:sz w:val="17"/>
          <w:szCs w:val="17"/>
        </w:rPr>
        <w:t>Přispěvatelem</w:t>
      </w:r>
      <w:r w:rsidRPr="00A33B74">
        <w:rPr>
          <w:sz w:val="17"/>
          <w:szCs w:val="17"/>
        </w:rPr>
        <w:t xml:space="preserve">“ se rozumí fyzická osoba, nebo právnická osoba, která realizuje či má zájem realizovat platbu ve prospěch Partnera prostřednictvím </w:t>
      </w:r>
      <w:r w:rsidR="001A2420">
        <w:rPr>
          <w:sz w:val="17"/>
          <w:szCs w:val="17"/>
        </w:rPr>
        <w:t>Nadační brány</w:t>
      </w:r>
      <w:r w:rsidRPr="00A33B74">
        <w:rPr>
          <w:sz w:val="17"/>
          <w:szCs w:val="17"/>
        </w:rPr>
        <w:t xml:space="preserve"> implementované na </w:t>
      </w:r>
      <w:r w:rsidRPr="00A33B74">
        <w:rPr>
          <w:sz w:val="17"/>
          <w:szCs w:val="17"/>
        </w:rPr>
        <w:lastRenderedPageBreak/>
        <w:t>Platformě</w:t>
      </w:r>
      <w:r w:rsidR="00BE6F2B">
        <w:rPr>
          <w:sz w:val="17"/>
          <w:szCs w:val="17"/>
        </w:rPr>
        <w:t xml:space="preserve">, a to </w:t>
      </w:r>
      <w:r w:rsidR="00E043B7">
        <w:rPr>
          <w:sz w:val="17"/>
          <w:szCs w:val="17"/>
        </w:rPr>
        <w:t xml:space="preserve">zejména </w:t>
      </w:r>
      <w:r w:rsidR="00BE6F2B">
        <w:rPr>
          <w:sz w:val="17"/>
          <w:szCs w:val="17"/>
        </w:rPr>
        <w:t>formou daru</w:t>
      </w:r>
      <w:r w:rsidR="00027077">
        <w:rPr>
          <w:sz w:val="17"/>
          <w:szCs w:val="17"/>
        </w:rPr>
        <w:t xml:space="preserve"> </w:t>
      </w:r>
      <w:r w:rsidR="006274C0">
        <w:rPr>
          <w:sz w:val="17"/>
          <w:szCs w:val="17"/>
        </w:rPr>
        <w:t>na základě zákona č. 89</w:t>
      </w:r>
      <w:r w:rsidR="006274C0">
        <w:rPr>
          <w:sz w:val="17"/>
          <w:szCs w:val="17"/>
          <w:lang w:val="en-US"/>
        </w:rPr>
        <w:t>/</w:t>
      </w:r>
      <w:r w:rsidR="006274C0">
        <w:rPr>
          <w:sz w:val="17"/>
          <w:szCs w:val="17"/>
        </w:rPr>
        <w:t>2012 Sb., občanského zákoníku</w:t>
      </w:r>
      <w:r w:rsidR="00027077">
        <w:rPr>
          <w:sz w:val="17"/>
          <w:szCs w:val="17"/>
        </w:rPr>
        <w:t>, dále např. na úhradu členských poplatků atp</w:t>
      </w:r>
      <w:r w:rsidRPr="00A33B74">
        <w:rPr>
          <w:sz w:val="17"/>
          <w:szCs w:val="17"/>
        </w:rPr>
        <w:t>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Platformou</w:t>
      </w:r>
      <w:r w:rsidRPr="00A33B74">
        <w:rPr>
          <w:sz w:val="17"/>
          <w:szCs w:val="17"/>
        </w:rPr>
        <w:t>“ se rozumí on-line systém provozovaný P</w:t>
      </w:r>
      <w:r w:rsidR="001A2420">
        <w:rPr>
          <w:sz w:val="17"/>
          <w:szCs w:val="17"/>
        </w:rPr>
        <w:t>artnerem na jeho doménovém jméně</w:t>
      </w:r>
      <w:r w:rsidRPr="00A33B74">
        <w:rPr>
          <w:sz w:val="17"/>
          <w:szCs w:val="17"/>
        </w:rPr>
        <w:t>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Implementací</w:t>
      </w:r>
      <w:r w:rsidR="00A57945">
        <w:rPr>
          <w:sz w:val="17"/>
          <w:szCs w:val="17"/>
        </w:rPr>
        <w:t>“ se rozumí úprava</w:t>
      </w:r>
      <w:r w:rsidR="001A1C73">
        <w:rPr>
          <w:sz w:val="17"/>
          <w:szCs w:val="17"/>
        </w:rPr>
        <w:t xml:space="preserve"> Platformy </w:t>
      </w:r>
      <w:r w:rsidR="00A57945">
        <w:rPr>
          <w:sz w:val="17"/>
          <w:szCs w:val="17"/>
        </w:rPr>
        <w:t xml:space="preserve">pro možnost automatického přesměrování </w:t>
      </w:r>
      <w:r w:rsidR="001A1C73">
        <w:rPr>
          <w:sz w:val="17"/>
          <w:szCs w:val="17"/>
        </w:rPr>
        <w:t>na Nadační bránu za účelem umožnění provedení platební transakce Přispěvatelem</w:t>
      </w:r>
      <w:r w:rsidRPr="00A33B74">
        <w:rPr>
          <w:sz w:val="17"/>
          <w:szCs w:val="17"/>
        </w:rPr>
        <w:t>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Poskytovatelem</w:t>
      </w:r>
      <w:r w:rsidRPr="00A33B74">
        <w:rPr>
          <w:sz w:val="17"/>
          <w:szCs w:val="17"/>
        </w:rPr>
        <w:t xml:space="preserve">“ se rozumí banka, či jiný obdobný poskytovatel platebních služeb integrovaných do </w:t>
      </w:r>
      <w:r w:rsidR="001A2420">
        <w:rPr>
          <w:sz w:val="17"/>
          <w:szCs w:val="17"/>
        </w:rPr>
        <w:t>Nadační</w:t>
      </w:r>
      <w:r w:rsidRPr="00A33B74">
        <w:rPr>
          <w:sz w:val="17"/>
          <w:szCs w:val="17"/>
        </w:rPr>
        <w:t xml:space="preserve"> brány, prostřednictvím kterých jsou umožněny platby od </w:t>
      </w:r>
      <w:r w:rsidR="007D56C5">
        <w:rPr>
          <w:sz w:val="17"/>
          <w:szCs w:val="17"/>
        </w:rPr>
        <w:t>Přispěvatelů</w:t>
      </w:r>
      <w:r w:rsidRPr="00A33B74">
        <w:rPr>
          <w:sz w:val="17"/>
          <w:szCs w:val="17"/>
        </w:rPr>
        <w:t xml:space="preserve"> ve prospěch Partnera.</w:t>
      </w:r>
    </w:p>
    <w:p w:rsidR="004F3F29" w:rsidRPr="00D85347" w:rsidRDefault="001A2420" w:rsidP="00D8534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>
        <w:rPr>
          <w:b/>
          <w:sz w:val="17"/>
          <w:szCs w:val="17"/>
        </w:rPr>
        <w:t>„Nadační</w:t>
      </w:r>
      <w:r w:rsidR="004428F1" w:rsidRPr="00A33B74">
        <w:rPr>
          <w:b/>
          <w:sz w:val="17"/>
          <w:szCs w:val="17"/>
        </w:rPr>
        <w:t xml:space="preserve"> bránou“</w:t>
      </w:r>
      <w:r w:rsidR="004428F1" w:rsidRPr="00A33B74">
        <w:rPr>
          <w:sz w:val="17"/>
          <w:szCs w:val="17"/>
        </w:rPr>
        <w:t xml:space="preserve"> se rozumí softwarová varianta ThePay Systému, která umožňuje provádění platebních transakcí ze strany </w:t>
      </w:r>
      <w:r w:rsidR="00D85347">
        <w:rPr>
          <w:sz w:val="17"/>
          <w:szCs w:val="17"/>
        </w:rPr>
        <w:t>Přispěvatele</w:t>
      </w:r>
      <w:r w:rsidR="004428F1" w:rsidRPr="00D85347">
        <w:rPr>
          <w:sz w:val="17"/>
          <w:szCs w:val="17"/>
        </w:rPr>
        <w:t xml:space="preserve"> za účelem Vydání Elektronických peněz ve prospěch Partnera. </w:t>
      </w:r>
    </w:p>
    <w:p w:rsidR="00E043B7" w:rsidRDefault="00E043B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„Darem“ </w:t>
      </w:r>
      <w:r>
        <w:rPr>
          <w:sz w:val="17"/>
          <w:szCs w:val="17"/>
        </w:rPr>
        <w:t xml:space="preserve">se rozumí finanční částka, kterou Přispěvatel dobrovolně daruje Partnerovi, a to na základě darovací smlouvy, která je mezi Partnerem a Přispěvatelem uzavřena okamžikem provedení platební transakce Přispěvatelem, není-li stanoven jiný okamžik na základě smlouvy mezi Přispěvatelem a Partnerem. </w:t>
      </w:r>
      <w:r w:rsidR="00C67E00">
        <w:rPr>
          <w:sz w:val="17"/>
          <w:szCs w:val="17"/>
        </w:rPr>
        <w:t xml:space="preserve">Součástí darovací smlouvy jsou i </w:t>
      </w:r>
      <w:r w:rsidR="0037212E">
        <w:rPr>
          <w:sz w:val="17"/>
          <w:szCs w:val="17"/>
        </w:rPr>
        <w:t xml:space="preserve">tato </w:t>
      </w:r>
      <w:r w:rsidR="00C67E00">
        <w:rPr>
          <w:sz w:val="17"/>
          <w:szCs w:val="17"/>
        </w:rPr>
        <w:t>Pravidla.</w:t>
      </w:r>
    </w:p>
    <w:p w:rsidR="00027077" w:rsidRPr="00027077" w:rsidRDefault="00027077" w:rsidP="0002707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027077">
        <w:rPr>
          <w:b/>
          <w:sz w:val="17"/>
          <w:szCs w:val="17"/>
        </w:rPr>
        <w:t>„Jinou platbou“</w:t>
      </w:r>
      <w:r>
        <w:rPr>
          <w:sz w:val="17"/>
          <w:szCs w:val="17"/>
        </w:rPr>
        <w:t xml:space="preserve"> se rozumí finanční částka, kterou Přispěvatel zasílá Partnerovi, a to na základě</w:t>
      </w:r>
      <w:r w:rsidR="00C134B7">
        <w:rPr>
          <w:sz w:val="17"/>
          <w:szCs w:val="17"/>
        </w:rPr>
        <w:t xml:space="preserve"> jiné než darovací</w:t>
      </w:r>
      <w:r>
        <w:rPr>
          <w:sz w:val="17"/>
          <w:szCs w:val="17"/>
        </w:rPr>
        <w:t xml:space="preserve"> smlouvy, která je mezi Partnerem a Přispěvatelem uzavřena</w:t>
      </w:r>
      <w:r w:rsidR="00B350F3">
        <w:rPr>
          <w:sz w:val="17"/>
          <w:szCs w:val="17"/>
        </w:rPr>
        <w:t xml:space="preserve"> (jde např. o členské poplatky)</w:t>
      </w:r>
      <w:r>
        <w:rPr>
          <w:sz w:val="17"/>
          <w:szCs w:val="17"/>
        </w:rPr>
        <w:t>. Součástí této smlouvy jsou i tato Pravidla.</w:t>
      </w:r>
    </w:p>
    <w:p w:rsidR="004F3F29" w:rsidRPr="00A33B74" w:rsidRDefault="001A2420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 xml:space="preserve"> </w:t>
      </w:r>
      <w:r w:rsidR="004428F1" w:rsidRPr="00A33B74">
        <w:rPr>
          <w:sz w:val="17"/>
          <w:szCs w:val="17"/>
        </w:rPr>
        <w:t>„</w:t>
      </w:r>
      <w:r w:rsidR="004428F1" w:rsidRPr="00A33B74">
        <w:rPr>
          <w:b/>
          <w:sz w:val="17"/>
          <w:szCs w:val="17"/>
        </w:rPr>
        <w:t>Nadřazenými pravidly</w:t>
      </w:r>
      <w:r w:rsidR="004428F1" w:rsidRPr="00A33B74">
        <w:rPr>
          <w:sz w:val="17"/>
          <w:szCs w:val="17"/>
        </w:rPr>
        <w:t>“ se rozumí obecně závazné právní předpisy České republiky a veškerá regulatorní či jiná obdobná pravidla třetích osob vstupujících do souvisejících procesů, která se vztahují k činnosti ThePay jako vydavatele elektronických peněz malého rozsahu dle ZPS.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b/>
          <w:sz w:val="17"/>
          <w:szCs w:val="17"/>
        </w:rPr>
        <w:t>„AML pravidly“</w:t>
      </w:r>
      <w:r w:rsidRPr="00A33B74">
        <w:rPr>
          <w:sz w:val="17"/>
          <w:szCs w:val="17"/>
        </w:rPr>
        <w:t xml:space="preserve"> se rozumí postupy a pravidla k předcházení zneužívání finančního systému vycházející ze zákona č. 253/2008 Sb., o některých opatřeních proti legalizaci výnosů z trestné činnosti a financování terorismu, příp. tento zákon samotný, pokud tak z textu Podmínek vyplývá.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b/>
          <w:sz w:val="17"/>
          <w:szCs w:val="17"/>
        </w:rPr>
        <w:t>„Podmínkami</w:t>
      </w:r>
      <w:r w:rsidRPr="00A33B74">
        <w:rPr>
          <w:sz w:val="17"/>
          <w:szCs w:val="17"/>
        </w:rPr>
        <w:t>“ se rozumí tyto obchodní podmínky upravující práva a povinn</w:t>
      </w:r>
      <w:r w:rsidR="00920587">
        <w:rPr>
          <w:sz w:val="17"/>
          <w:szCs w:val="17"/>
        </w:rPr>
        <w:t xml:space="preserve">osti ThePay a Partnera, </w:t>
      </w:r>
      <w:r w:rsidRPr="00A33B74">
        <w:rPr>
          <w:sz w:val="17"/>
          <w:szCs w:val="17"/>
        </w:rPr>
        <w:t>podmínky užívání</w:t>
      </w:r>
      <w:r w:rsidR="00920587">
        <w:rPr>
          <w:sz w:val="17"/>
          <w:szCs w:val="17"/>
        </w:rPr>
        <w:t xml:space="preserve"> ThePay Systému a ThePay Ú</w:t>
      </w:r>
      <w:r w:rsidR="007D56C5">
        <w:rPr>
          <w:sz w:val="17"/>
          <w:szCs w:val="17"/>
        </w:rPr>
        <w:t>čtu, cenová nabídka ke Smlouvě</w:t>
      </w:r>
      <w:r w:rsidRPr="00A33B74">
        <w:rPr>
          <w:sz w:val="17"/>
          <w:szCs w:val="17"/>
        </w:rPr>
        <w:t>. Tyto Podmínky jsou pro ThePay i pro Partnera závazné a tvoří součást Smlouvy a je třeba je vykládat v souladu s Nadřazenými pravidly.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b/>
          <w:sz w:val="17"/>
          <w:szCs w:val="17"/>
        </w:rPr>
        <w:t xml:space="preserve">„Sazebníkem poplatků“ </w:t>
      </w:r>
      <w:r w:rsidRPr="00A33B74">
        <w:rPr>
          <w:sz w:val="17"/>
          <w:szCs w:val="17"/>
        </w:rPr>
        <w:t>se rozumí přehled</w:t>
      </w:r>
      <w:r w:rsidR="0065629C">
        <w:rPr>
          <w:sz w:val="17"/>
          <w:szCs w:val="17"/>
        </w:rPr>
        <w:t>y</w:t>
      </w:r>
      <w:r w:rsidRPr="00A33B74">
        <w:rPr>
          <w:sz w:val="17"/>
          <w:szCs w:val="17"/>
        </w:rPr>
        <w:t xml:space="preserve"> poplatků </w:t>
      </w:r>
      <w:r w:rsidR="00D966D4">
        <w:rPr>
          <w:sz w:val="17"/>
          <w:szCs w:val="17"/>
        </w:rPr>
        <w:t>pro Nadační bránu</w:t>
      </w:r>
      <w:r w:rsidR="0065629C">
        <w:rPr>
          <w:sz w:val="17"/>
          <w:szCs w:val="17"/>
        </w:rPr>
        <w:t xml:space="preserve"> </w:t>
      </w:r>
      <w:r w:rsidRPr="00A33B74">
        <w:rPr>
          <w:sz w:val="17"/>
          <w:szCs w:val="17"/>
        </w:rPr>
        <w:t xml:space="preserve">souvisejících s užíváním ThePay Účtu uvedený na webových stránkách Společnosti ThePay www.thepay.cz. </w:t>
      </w:r>
    </w:p>
    <w:p w:rsidR="004F3F29" w:rsidRPr="00A33B74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sz w:val="17"/>
          <w:szCs w:val="17"/>
        </w:rPr>
        <w:t>„</w:t>
      </w:r>
      <w:r w:rsidRPr="00A33B74">
        <w:rPr>
          <w:b/>
          <w:sz w:val="17"/>
          <w:szCs w:val="17"/>
        </w:rPr>
        <w:t>Reklamačním řádem</w:t>
      </w:r>
      <w:r w:rsidRPr="00A33B74">
        <w:rPr>
          <w:sz w:val="17"/>
          <w:szCs w:val="17"/>
        </w:rPr>
        <w:t>“ se rozumí reklamační řád uvedený na webových stránkách Společnosti ThePay www.thepay.cz.</w:t>
      </w:r>
    </w:p>
    <w:p w:rsidR="00324E3C" w:rsidRDefault="004428F1" w:rsidP="00E3536E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sz w:val="17"/>
          <w:szCs w:val="17"/>
        </w:rPr>
      </w:pPr>
      <w:r w:rsidRPr="00A33B74">
        <w:rPr>
          <w:b/>
          <w:sz w:val="17"/>
          <w:szCs w:val="17"/>
        </w:rPr>
        <w:t xml:space="preserve">„Pravidly“ </w:t>
      </w:r>
      <w:r w:rsidRPr="00A33B74">
        <w:rPr>
          <w:sz w:val="17"/>
          <w:szCs w:val="17"/>
        </w:rPr>
        <w:t>se souhrnně rozumí Nadřazená pravidla, A</w:t>
      </w:r>
      <w:r w:rsidR="007E4623">
        <w:rPr>
          <w:sz w:val="17"/>
          <w:szCs w:val="17"/>
        </w:rPr>
        <w:t>ML pravidla, Podmínky a Sazebník</w:t>
      </w:r>
      <w:r w:rsidR="00E065D9">
        <w:rPr>
          <w:sz w:val="17"/>
          <w:szCs w:val="17"/>
        </w:rPr>
        <w:t xml:space="preserve"> poplatků. Pojmy užívané v těchto Podmínkách mají stejný význam i v AML pravidlech, Reklamačním řádu a Sazebníku poplatků.</w:t>
      </w:r>
    </w:p>
    <w:p w:rsidR="006624EC" w:rsidRPr="001C33D6" w:rsidRDefault="006624EC" w:rsidP="006624EC">
      <w:pPr>
        <w:tabs>
          <w:tab w:val="left" w:pos="426"/>
        </w:tabs>
        <w:spacing w:after="120" w:line="240" w:lineRule="auto"/>
        <w:jc w:val="both"/>
        <w:rPr>
          <w:sz w:val="17"/>
          <w:szCs w:val="17"/>
        </w:rPr>
      </w:pP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lastRenderedPageBreak/>
        <w:t>ThePay Systém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ThePay Systém je komplexní zabezpečené softwarové řešení s implementovanými funkcionalitami umožňujícími přes ThePay Účty provádět zejména Operace s elektronickými penězi, a to </w:t>
      </w:r>
      <w:r w:rsidR="00AC51FF">
        <w:rPr>
          <w:sz w:val="18"/>
          <w:szCs w:val="18"/>
        </w:rPr>
        <w:t>prostřednictvím Nadační brány</w:t>
      </w:r>
      <w:r w:rsidR="00446E09">
        <w:rPr>
          <w:sz w:val="18"/>
          <w:szCs w:val="18"/>
        </w:rPr>
        <w:t>, a</w:t>
      </w:r>
      <w:r>
        <w:rPr>
          <w:sz w:val="18"/>
          <w:szCs w:val="18"/>
        </w:rPr>
        <w:t xml:space="preserve"> přes ThePay Účty samotné.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Založení ThePay Účtu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Na zákl</w:t>
      </w:r>
      <w:r w:rsidR="0001031E">
        <w:rPr>
          <w:sz w:val="18"/>
          <w:szCs w:val="18"/>
        </w:rPr>
        <w:t>adě uzavřené Smlouvy a schválení</w:t>
      </w:r>
      <w:r>
        <w:rPr>
          <w:sz w:val="18"/>
          <w:szCs w:val="18"/>
        </w:rPr>
        <w:t xml:space="preserve"> Společností ThePay bude Partnerovi zřízen ThePay Účet v rámci ThePay Systému, přes který je možné provádět zejména Vydávání Elektronických peněz, Platby Elektronickými penězi a Zpětné výměny Elektronických peněz.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Smluvní vztah dle Smlouvy se vždy řídí také Pravidly.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Před uzavřením Smlouvy a založením ThePay Účtu a kdykoli během trvání Smlouvy je Společnost ThePay oprávněna vyzvat potenciálního Partnera k provedení úkonů podle AML pravidel a těchto Podmínek.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bere na vědomí, že samotným uzavřením Smlouvy nevzniká automaticky nárok na používání ThePay Systému a poskytování jakékoli služby dle Smlouvy a těchto Podmínek. Každý Partner musí po uzavření Smlouvy projít schválením Společností ThePay.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Po úspěšném schválení Partnera Společností ThePay dojde k aktivaci ThePay Účtu a Partnerovi jsou zaslány přihlašovací údaje, které je Partner povinen při první přihlášení do ThePay Účtu změnit, přičemž musí dodržet standardy bezpečných hesel.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následně provede Implementaci </w:t>
      </w:r>
      <w:r w:rsidR="00AC51FF">
        <w:rPr>
          <w:sz w:val="18"/>
          <w:szCs w:val="18"/>
        </w:rPr>
        <w:t>Nadační brány</w:t>
      </w:r>
      <w:r>
        <w:rPr>
          <w:sz w:val="18"/>
          <w:szCs w:val="18"/>
        </w:rPr>
        <w:t xml:space="preserve"> dle čl. V.</w:t>
      </w:r>
    </w:p>
    <w:p w:rsidR="004F3F29" w:rsidRPr="00EF5E9C" w:rsidRDefault="0001031E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</w:t>
      </w:r>
      <w:r w:rsidR="004428F1">
        <w:rPr>
          <w:sz w:val="18"/>
          <w:szCs w:val="18"/>
        </w:rPr>
        <w:t xml:space="preserve"> musí být kromě schválení Společností ThePay schválen také Poskytovatelem. V případě, že Partner nebude Poskytovatelem schvá</w:t>
      </w:r>
      <w:r w:rsidR="00473BB1">
        <w:rPr>
          <w:sz w:val="18"/>
          <w:szCs w:val="18"/>
        </w:rPr>
        <w:t xml:space="preserve">len, se ke dni oznámení automaticky Partnerovi umožňuje užívat </w:t>
      </w:r>
      <w:r w:rsidR="00AC51FF">
        <w:rPr>
          <w:sz w:val="18"/>
          <w:szCs w:val="18"/>
        </w:rPr>
        <w:t>Nadační bránu pouze v</w:t>
      </w:r>
      <w:r w:rsidR="00EE56EB">
        <w:rPr>
          <w:sz w:val="18"/>
          <w:szCs w:val="18"/>
        </w:rPr>
        <w:t xml:space="preserve"> rozsahu určeném Společností ThePay, či vůbec. 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Fungování ThePay Účtu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ThePay Účet umožňuje provádět příslušné Operace s elektronickými penězi, a to buď pomocí:</w:t>
      </w:r>
    </w:p>
    <w:p w:rsidR="004F3F29" w:rsidRDefault="00380F4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>Nadační brány, anebo</w:t>
      </w:r>
    </w:p>
    <w:p w:rsidR="004F3F29" w:rsidRDefault="004428F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>ThePay Účtem samotným.</w:t>
      </w:r>
    </w:p>
    <w:p w:rsidR="004F3F29" w:rsidRDefault="004F3F29">
      <w:pPr>
        <w:tabs>
          <w:tab w:val="left" w:pos="426"/>
        </w:tabs>
        <w:spacing w:after="0" w:line="240" w:lineRule="auto"/>
        <w:ind w:left="782"/>
        <w:jc w:val="both"/>
      </w:pP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lastRenderedPageBreak/>
        <w:t>ThePay Účet zobrazuje aktuální zůstatek Elektronických peněz, které by</w:t>
      </w:r>
      <w:r w:rsidR="00446E09">
        <w:rPr>
          <w:sz w:val="18"/>
          <w:szCs w:val="18"/>
        </w:rPr>
        <w:t>ly vydány v souladu s Pravidly</w:t>
      </w:r>
      <w:r>
        <w:rPr>
          <w:sz w:val="18"/>
          <w:szCs w:val="18"/>
        </w:rPr>
        <w:t xml:space="preserve">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Nominální hodnota Elektronických peněz je navyšována, nebo ponižována v závislosti na tom, zda dochází k Vydání elektronických peněz, Platbě elektronickými penězi, či Zpětné výměně elektronických peněz, a to vždy v hodnotě odpovídající nominální hodnotě příslušné peněžní operace. Elektronické peníze nejsou úročeny.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K Vydání elektronických peněz a tím i navýšení zůstatku Elektronických peněz na ThePay Účtu dochází zpravidla tím, že Partner či </w:t>
      </w:r>
      <w:r w:rsidR="00880215">
        <w:rPr>
          <w:sz w:val="18"/>
          <w:szCs w:val="18"/>
        </w:rPr>
        <w:t xml:space="preserve">Přispěvatel </w:t>
      </w:r>
      <w:r>
        <w:rPr>
          <w:sz w:val="18"/>
          <w:szCs w:val="18"/>
        </w:rPr>
        <w:t>ve prospěch Partnera provede platbu za účelem výměny peněžních prostředků na elektronické peníze, a to na jeden z</w:t>
      </w:r>
      <w:r w:rsidR="0097235D">
        <w:rPr>
          <w:sz w:val="18"/>
          <w:szCs w:val="18"/>
        </w:rPr>
        <w:t xml:space="preserve"> bankovních </w:t>
      </w:r>
      <w:r>
        <w:rPr>
          <w:sz w:val="18"/>
          <w:szCs w:val="18"/>
        </w:rPr>
        <w:t>účtů Společnosti ThePay.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je ze svého ThePay Účtu oprávněn provést Platbu elektronickými penězi ve prospěch ThePay Účtu jiných Partnerů Společnosti ThePay.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je kdykoli oprávněn zadat písemný pokyn ke Zpětné výměně elektronických peněz na zvolený účet. Partner může v ThePay Účtu nastavit i pravidelné Zpětné výměny elektronických peněz, a to na každý den,</w:t>
      </w:r>
      <w:r w:rsidR="00473BB1">
        <w:rPr>
          <w:sz w:val="18"/>
          <w:szCs w:val="18"/>
        </w:rPr>
        <w:t xml:space="preserve"> nebo každý týden,</w:t>
      </w:r>
      <w:r>
        <w:rPr>
          <w:sz w:val="18"/>
          <w:szCs w:val="18"/>
        </w:rPr>
        <w:t xml:space="preserve"> nebo každ</w:t>
      </w:r>
      <w:r w:rsidR="00473BB1">
        <w:rPr>
          <w:sz w:val="18"/>
          <w:szCs w:val="18"/>
        </w:rPr>
        <w:t>ých čtrnáct dní, nebo každý měsíc, případně na jiné intervaly, pokud to Společnost ThePay umožní.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ThePay Účet může být veden v různých měnách, které Společnost ThePay akceptuje.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bere na vědomí, že realizace Zpětné výměny elektronických peněz může trvat až 5 pracovních dnů od zadání pokynu, či od pravidelného termínu Zpětné výměny elektronických peněz. Ve výjimečných případech může být tato doba de</w:t>
      </w:r>
      <w:r w:rsidR="00446E09">
        <w:rPr>
          <w:sz w:val="18"/>
          <w:szCs w:val="18"/>
        </w:rPr>
        <w:t>lší, a to zejména pokud dojde</w:t>
      </w:r>
      <w:r>
        <w:rPr>
          <w:sz w:val="18"/>
          <w:szCs w:val="18"/>
        </w:rPr>
        <w:t xml:space="preserve"> k vyžádání souvisejícíc</w:t>
      </w:r>
      <w:r w:rsidR="00446E09">
        <w:rPr>
          <w:sz w:val="18"/>
          <w:szCs w:val="18"/>
        </w:rPr>
        <w:t>h informací od oprávněných osob.</w:t>
      </w:r>
    </w:p>
    <w:p w:rsidR="004F3F29" w:rsidRDefault="001B6CD2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Implementace Nadační</w:t>
      </w:r>
      <w:r w:rsidR="00223F21">
        <w:rPr>
          <w:b/>
          <w:sz w:val="18"/>
          <w:szCs w:val="18"/>
        </w:rPr>
        <w:t xml:space="preserve"> brány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Implementace umožňuje automatické přesměrování </w:t>
      </w:r>
      <w:r w:rsidR="008B1329">
        <w:rPr>
          <w:sz w:val="18"/>
          <w:szCs w:val="18"/>
        </w:rPr>
        <w:t>Přispěvatele</w:t>
      </w:r>
      <w:r>
        <w:rPr>
          <w:sz w:val="18"/>
          <w:szCs w:val="18"/>
        </w:rPr>
        <w:t xml:space="preserve"> z Platformy na </w:t>
      </w:r>
      <w:r w:rsidR="008B1329">
        <w:rPr>
          <w:sz w:val="18"/>
          <w:szCs w:val="18"/>
        </w:rPr>
        <w:t xml:space="preserve">Nadační </w:t>
      </w:r>
      <w:r>
        <w:rPr>
          <w:sz w:val="18"/>
          <w:szCs w:val="18"/>
        </w:rPr>
        <w:t xml:space="preserve">bránu pro účely provedení Platby. </w:t>
      </w:r>
      <w:r w:rsidR="00473BB1">
        <w:rPr>
          <w:sz w:val="18"/>
          <w:szCs w:val="18"/>
        </w:rPr>
        <w:t>Doménové jméno Platformy bude uvedeno v</w:t>
      </w:r>
      <w:r w:rsidR="00925CAB">
        <w:rPr>
          <w:sz w:val="18"/>
          <w:szCs w:val="18"/>
        </w:rPr>
        <w:t xml:space="preserve"> ThePay Účtu, přičemž zaveden</w:t>
      </w:r>
      <w:r w:rsidR="000743E6">
        <w:rPr>
          <w:sz w:val="18"/>
          <w:szCs w:val="18"/>
        </w:rPr>
        <w:t>í dalšího doménového jména</w:t>
      </w:r>
      <w:r w:rsidR="00925CAB">
        <w:rPr>
          <w:sz w:val="18"/>
          <w:szCs w:val="18"/>
        </w:rPr>
        <w:t xml:space="preserve"> podléhá schvalování ze strany Společnosti ThePay, </w:t>
      </w:r>
      <w:r w:rsidR="00B46A4E">
        <w:rPr>
          <w:sz w:val="18"/>
          <w:szCs w:val="18"/>
        </w:rPr>
        <w:t>případně taktéž i Poskytovatele, a to na základě písemné Žádosti o přidání domé</w:t>
      </w:r>
      <w:r w:rsidR="000743E6">
        <w:rPr>
          <w:sz w:val="18"/>
          <w:szCs w:val="18"/>
        </w:rPr>
        <w:t>nového jména učiněné Partnerem.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Implementaci zajišťuje Partner po podpisu </w:t>
      </w:r>
      <w:r w:rsidR="00446E09">
        <w:rPr>
          <w:sz w:val="18"/>
          <w:szCs w:val="18"/>
        </w:rPr>
        <w:t xml:space="preserve">Smlouvy na své náklady.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Provedení Implementace podléhá ověření a schválení Společností ThePay. Schválení Implementace bude Společností ThePay Partnerovi na vyžádání potvrzeno. Společnost ThePay neodpovídá </w:t>
      </w:r>
      <w:r w:rsidR="00320D66">
        <w:rPr>
          <w:sz w:val="18"/>
          <w:szCs w:val="18"/>
        </w:rPr>
        <w:t>za případné vady v Implementaci a škody způsobené chybnou Implementací.</w:t>
      </w:r>
    </w:p>
    <w:p w:rsidR="004F3F29" w:rsidRDefault="004428F1" w:rsidP="00D1471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ani třetí osoby nesmí provádět jakékoli zásahy do zdrojového kódu, které by mohly narušit správné fungování </w:t>
      </w:r>
      <w:r w:rsidR="00C63478">
        <w:rPr>
          <w:sz w:val="18"/>
          <w:szCs w:val="18"/>
        </w:rPr>
        <w:t xml:space="preserve">Nadační </w:t>
      </w:r>
      <w:r>
        <w:rPr>
          <w:sz w:val="18"/>
          <w:szCs w:val="18"/>
        </w:rPr>
        <w:t xml:space="preserve">brány. Zakazuje se jakýkoli pokus o zpětnou </w:t>
      </w:r>
      <w:r>
        <w:rPr>
          <w:sz w:val="18"/>
          <w:szCs w:val="18"/>
        </w:rPr>
        <w:lastRenderedPageBreak/>
        <w:t>analýzu, dekompilaci, rozklad, překonávání technických omezení atp. Pokud Společnost ThePay zjistí neoprávněný zásah, je oprávněna okamžitě odstoupit od Smlouvy a požadovat náhradu škody v plné výši.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 xml:space="preserve">Obecná pravidla </w:t>
      </w:r>
      <w:r w:rsidR="00D14717">
        <w:rPr>
          <w:b/>
          <w:sz w:val="18"/>
          <w:szCs w:val="18"/>
        </w:rPr>
        <w:t>Nadační brány</w:t>
      </w:r>
    </w:p>
    <w:p w:rsidR="004F3F29" w:rsidRPr="00E108F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Při užívání </w:t>
      </w:r>
      <w:r w:rsidR="001E0ECE">
        <w:rPr>
          <w:sz w:val="18"/>
          <w:szCs w:val="18"/>
        </w:rPr>
        <w:t xml:space="preserve">Nadační </w:t>
      </w:r>
      <w:r>
        <w:rPr>
          <w:sz w:val="18"/>
          <w:szCs w:val="18"/>
        </w:rPr>
        <w:t>brány se Partner zavazuje dodržovat Pravidla a zavazuje se učinit veškeré možné kroky k </w:t>
      </w:r>
      <w:r w:rsidRPr="00E108F9">
        <w:rPr>
          <w:sz w:val="18"/>
          <w:szCs w:val="18"/>
        </w:rPr>
        <w:t>tomu, aby zabránil porušov</w:t>
      </w:r>
      <w:r w:rsidR="001E0ECE" w:rsidRPr="00E108F9">
        <w:rPr>
          <w:sz w:val="18"/>
          <w:szCs w:val="18"/>
        </w:rPr>
        <w:t>ání Pravidel ze strany Přispěvatelů</w:t>
      </w:r>
      <w:r w:rsidRPr="00E108F9">
        <w:rPr>
          <w:sz w:val="18"/>
          <w:szCs w:val="18"/>
        </w:rPr>
        <w:t xml:space="preserve">. </w:t>
      </w:r>
      <w:r w:rsidR="00E108F9" w:rsidRPr="00E108F9">
        <w:rPr>
          <w:sz w:val="18"/>
          <w:szCs w:val="18"/>
        </w:rPr>
        <w:t>Partner si je vědom, že může ve vztahu k Přispěvatelům podléhat zákonu č. 253/2008 Sb., o některých opatřeních proti legalizaci výnosů z trestné č</w:t>
      </w:r>
      <w:r w:rsidR="00CD0F20">
        <w:rPr>
          <w:sz w:val="18"/>
          <w:szCs w:val="18"/>
        </w:rPr>
        <w:t>innosti a financování terorismu.</w:t>
      </w:r>
    </w:p>
    <w:p w:rsidR="005F23DE" w:rsidRPr="00BE6F2B" w:rsidRDefault="004428F1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 w:rsidRPr="00E108F9">
        <w:rPr>
          <w:sz w:val="18"/>
          <w:szCs w:val="18"/>
        </w:rPr>
        <w:t xml:space="preserve">Partner nesmí při </w:t>
      </w:r>
      <w:r w:rsidR="004D0F89" w:rsidRPr="00E108F9">
        <w:rPr>
          <w:sz w:val="18"/>
          <w:szCs w:val="18"/>
        </w:rPr>
        <w:t>využívání Nadačn</w:t>
      </w:r>
      <w:r w:rsidRPr="00E108F9">
        <w:rPr>
          <w:sz w:val="18"/>
          <w:szCs w:val="18"/>
        </w:rPr>
        <w:t>í brány zejména zneužít práva třetích osob, nesmí porušovat práva duševního vlastnictví Společnosti ThePay, nesmí činit jakékoli</w:t>
      </w:r>
      <w:r>
        <w:rPr>
          <w:sz w:val="18"/>
          <w:szCs w:val="18"/>
        </w:rPr>
        <w:t xml:space="preserve"> pokusy </w:t>
      </w:r>
      <w:r w:rsidRPr="00BE6F2B">
        <w:rPr>
          <w:sz w:val="18"/>
          <w:szCs w:val="18"/>
        </w:rPr>
        <w:t xml:space="preserve">k narušení funkčnosti fungování smluvních vztahů, nesmí umožnit </w:t>
      </w:r>
      <w:r w:rsidR="004D0F89" w:rsidRPr="00BE6F2B">
        <w:rPr>
          <w:sz w:val="18"/>
          <w:szCs w:val="18"/>
        </w:rPr>
        <w:t xml:space="preserve">Přispěvatelům </w:t>
      </w:r>
      <w:r w:rsidRPr="00BE6F2B">
        <w:rPr>
          <w:sz w:val="18"/>
          <w:szCs w:val="18"/>
        </w:rPr>
        <w:t xml:space="preserve">činit </w:t>
      </w:r>
      <w:r w:rsidR="004C5B6D">
        <w:rPr>
          <w:sz w:val="18"/>
          <w:szCs w:val="18"/>
        </w:rPr>
        <w:t xml:space="preserve">podezřelé, </w:t>
      </w:r>
      <w:r w:rsidRPr="00BE6F2B">
        <w:rPr>
          <w:sz w:val="18"/>
          <w:szCs w:val="18"/>
        </w:rPr>
        <w:t>nedovolené či rizikové platby atp.</w:t>
      </w:r>
    </w:p>
    <w:p w:rsidR="00BE6F2B" w:rsidRDefault="00BE6F2B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 w:rsidRPr="00BE6F2B">
        <w:rPr>
          <w:sz w:val="18"/>
          <w:szCs w:val="18"/>
        </w:rPr>
        <w:t>Spol</w:t>
      </w:r>
      <w:r>
        <w:rPr>
          <w:sz w:val="18"/>
          <w:szCs w:val="18"/>
        </w:rPr>
        <w:t xml:space="preserve">ečnost ThePay v rámci spolupráce s Partnerem vystupuje pouze jako zprostředkovatelský prvek, který na základě Podmínek poskytne Partnerovi služby Nadační platební brány, prostřednictvím níž mohou Přispěvatelé provádět platební </w:t>
      </w:r>
      <w:r w:rsidR="00027077">
        <w:rPr>
          <w:sz w:val="18"/>
          <w:szCs w:val="18"/>
        </w:rPr>
        <w:t>transakce pro Partnera</w:t>
      </w:r>
      <w:r w:rsidR="00E108F9">
        <w:rPr>
          <w:sz w:val="18"/>
          <w:szCs w:val="18"/>
        </w:rPr>
        <w:t>.</w:t>
      </w:r>
      <w:r w:rsidR="00173385">
        <w:rPr>
          <w:sz w:val="18"/>
          <w:szCs w:val="18"/>
        </w:rPr>
        <w:t xml:space="preserve"> </w:t>
      </w:r>
    </w:p>
    <w:p w:rsidR="00173385" w:rsidRDefault="00630C28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Za účelem provádění platebních transakcí od Přis</w:t>
      </w:r>
      <w:r w:rsidR="00480EB8">
        <w:rPr>
          <w:sz w:val="18"/>
          <w:szCs w:val="18"/>
        </w:rPr>
        <w:t>pěvatelů pro Partnera uzavírá Partner s Přispěvatelem příslušnou smlouvu. Smlouva musí obsahovat odkaz na tyto Podmínky a ustanovení o tom, že Podmínky se stávají součástí smlouvy</w:t>
      </w:r>
      <w:r w:rsidR="00827B6B">
        <w:rPr>
          <w:sz w:val="18"/>
          <w:szCs w:val="18"/>
        </w:rPr>
        <w:t>.</w:t>
      </w:r>
    </w:p>
    <w:p w:rsidR="00E108F9" w:rsidRDefault="00E108F9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Přispěvatelé před provedením platební transakce zadávají do formuláře údaje potřebné k dokončení platební transakce, k čemuž dávají souhlas na základě těchto Podmínek.</w:t>
      </w:r>
    </w:p>
    <w:p w:rsidR="0033381F" w:rsidRDefault="00E108F9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3381F">
        <w:rPr>
          <w:sz w:val="18"/>
          <w:szCs w:val="18"/>
        </w:rPr>
        <w:t xml:space="preserve">o </w:t>
      </w:r>
      <w:r w:rsidR="00213799">
        <w:rPr>
          <w:sz w:val="18"/>
          <w:szCs w:val="18"/>
        </w:rPr>
        <w:t xml:space="preserve">úspěšném </w:t>
      </w:r>
      <w:r w:rsidR="0033381F">
        <w:rPr>
          <w:sz w:val="18"/>
          <w:szCs w:val="18"/>
        </w:rPr>
        <w:t>provedení platební transakce</w:t>
      </w:r>
      <w:r w:rsidR="00553553">
        <w:rPr>
          <w:sz w:val="18"/>
          <w:szCs w:val="18"/>
        </w:rPr>
        <w:t xml:space="preserve"> a Vydáním elektronických peněz</w:t>
      </w:r>
      <w:r w:rsidR="0033381F">
        <w:rPr>
          <w:sz w:val="18"/>
          <w:szCs w:val="18"/>
        </w:rPr>
        <w:t xml:space="preserve"> bude </w:t>
      </w:r>
      <w:r>
        <w:rPr>
          <w:sz w:val="18"/>
          <w:szCs w:val="18"/>
        </w:rPr>
        <w:t xml:space="preserve">v rámci veřejně dostupného </w:t>
      </w:r>
      <w:r w:rsidR="0033381F">
        <w:rPr>
          <w:sz w:val="18"/>
          <w:szCs w:val="18"/>
        </w:rPr>
        <w:t xml:space="preserve">transparentního </w:t>
      </w:r>
      <w:r>
        <w:rPr>
          <w:sz w:val="18"/>
          <w:szCs w:val="18"/>
        </w:rPr>
        <w:t xml:space="preserve">výpisu </w:t>
      </w:r>
      <w:r w:rsidR="0033381F">
        <w:rPr>
          <w:sz w:val="18"/>
          <w:szCs w:val="18"/>
        </w:rPr>
        <w:t>stavu ThePay Účtu Partnera platební transakce evidována, a to v případě, že Partner zvolí v rámci funkcionality Nadační brány možnost transparentního informování</w:t>
      </w:r>
      <w:r w:rsidR="009F75F8">
        <w:rPr>
          <w:sz w:val="18"/>
          <w:szCs w:val="18"/>
        </w:rPr>
        <w:t xml:space="preserve">. </w:t>
      </w:r>
      <w:r w:rsidR="004B0EF3">
        <w:rPr>
          <w:sz w:val="18"/>
          <w:szCs w:val="18"/>
        </w:rPr>
        <w:t>V opačném případě nebude přístup do evidence veřejně přístupný.</w:t>
      </w:r>
    </w:p>
    <w:p w:rsidR="00E108F9" w:rsidRDefault="00213799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Společnost ThePay upozorňuje, že mezi momentem Vydání elektronických peněz a uvedením záznamu do veřejně dostupného transparentního výpisu stavu ThePay Účtu Partnera </w:t>
      </w:r>
      <w:r w:rsidR="00D03602">
        <w:rPr>
          <w:sz w:val="18"/>
          <w:szCs w:val="18"/>
        </w:rPr>
        <w:t xml:space="preserve">může ve výjimečných případech </w:t>
      </w:r>
      <w:r w:rsidR="0087392F">
        <w:rPr>
          <w:sz w:val="18"/>
          <w:szCs w:val="18"/>
        </w:rPr>
        <w:t>uplynout i několik dní.</w:t>
      </w:r>
    </w:p>
    <w:p w:rsidR="00553553" w:rsidRPr="00BE6F2B" w:rsidRDefault="00A224FD" w:rsidP="00BE6F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Společnost ThePay může Přispě</w:t>
      </w:r>
      <w:r w:rsidR="00A33865">
        <w:rPr>
          <w:sz w:val="18"/>
          <w:szCs w:val="18"/>
        </w:rPr>
        <w:t>vateli umožnit vstup do historie</w:t>
      </w:r>
      <w:r>
        <w:rPr>
          <w:sz w:val="18"/>
          <w:szCs w:val="18"/>
        </w:rPr>
        <w:t xml:space="preserve"> jím provedených platebních transakcí.</w:t>
      </w:r>
      <w:r w:rsidR="00A33865">
        <w:rPr>
          <w:sz w:val="18"/>
          <w:szCs w:val="18"/>
        </w:rPr>
        <w:t xml:space="preserve"> V případě, že bude Přispěvateli tato funkcionalita zpřístupněna, bude o tom informován e-mailem, který bude obsahovat i návod o tom, jak se do historie přihlásit. 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lastRenderedPageBreak/>
        <w:t>Obecná pravidla ThePay Účtu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Za používání ThePay Účtu odpovídá Partner, přičemž se Partnerovi </w:t>
      </w:r>
      <w:r w:rsidR="00D233A4">
        <w:rPr>
          <w:sz w:val="18"/>
          <w:szCs w:val="18"/>
        </w:rPr>
        <w:t xml:space="preserve">a Přispěvateli </w:t>
      </w:r>
      <w:r>
        <w:rPr>
          <w:sz w:val="18"/>
          <w:szCs w:val="18"/>
        </w:rPr>
        <w:t>striktně zakazuje za pomoci, nebo prostřednictvím ThePay Účtu páchat trestnou činnost, postupovat v rozporu s Pravidly, nebo toto umožnit jinému. V případě pochybností o sprá</w:t>
      </w:r>
      <w:r w:rsidR="005742BC">
        <w:rPr>
          <w:sz w:val="18"/>
          <w:szCs w:val="18"/>
        </w:rPr>
        <w:t xml:space="preserve">vnosti postupu Partnera či </w:t>
      </w:r>
      <w:r w:rsidR="00971B0E">
        <w:rPr>
          <w:sz w:val="18"/>
          <w:szCs w:val="18"/>
        </w:rPr>
        <w:t>Přispěvatele</w:t>
      </w:r>
      <w:r>
        <w:rPr>
          <w:sz w:val="18"/>
          <w:szCs w:val="18"/>
        </w:rPr>
        <w:t>, je Partner povinen bezodkladně informovat Společnost ThePay.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je povinen při využívání ThePay Účtu dodržovat bezpečnostní standardy, aby nedocházelo k ohrožení jeho ThePay Účtu. Je zodpovědný za správnou manipulaci s ThePay Účtem, zejména nesmí sdělit přístupové údaje neoprávněné osobě, nesmí zůstat přihlášen v ThePay Účtu a přístroj, z něhož je přihlášen, ponechat bez dozoru atp. V případě podezření z narušení ThePay Účtu, je Partner povinen bezodkladně informovat společnost ThePay.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se zavazuje v rámci ThePay Účtu udržovat aktuální identifikační a kontaktní údaje o své osobě</w:t>
      </w:r>
      <w:r w:rsidR="00971B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v případě jejich změn je povinen provést změny, příp. tyto nahlásit Společnosti ThePay za účelem aktualizace v ThePay Účtu.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je povinen průběžně</w:t>
      </w:r>
      <w:r w:rsidR="00242926">
        <w:rPr>
          <w:sz w:val="18"/>
          <w:szCs w:val="18"/>
        </w:rPr>
        <w:t>, nejméně jednou za 14 dní,</w:t>
      </w:r>
      <w:r>
        <w:rPr>
          <w:sz w:val="18"/>
          <w:szCs w:val="18"/>
        </w:rPr>
        <w:t xml:space="preserve"> sledovat ThePay Účet z důvodu možných aktualizací, oznámení, sdělení, o nichž může být informován prostřednictvím ThePay Účtu, a tím i za účelem předcházení vzniku škod.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nezaručuje dostupnost funkcionalit v ThePay Účtu a Partner bere na vědomí, že Poskytovatel může kdykoli omezit dostupnost některé platební metody, či po Společnost ThePay požadovat omezení některých platebních metod konkrétnímu Partnerovi.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V případě, že Partner poruší jakékoli pravidlo stanovené Pravidly, či jakýmikoli jinými pravidly, které na něj dopadají a kterými je povinen se řídit, je Společnost ThePay oprávněna dle závažnosti zejména:</w:t>
      </w:r>
    </w:p>
    <w:p w:rsidR="004F3F29" w:rsidRDefault="004428F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Neprovést Operace s elektronickými penězi, </w:t>
      </w:r>
    </w:p>
    <w:p w:rsidR="004F3F29" w:rsidRDefault="004428F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>Stornovat platbu,</w:t>
      </w:r>
    </w:p>
    <w:p w:rsidR="004F3F29" w:rsidRDefault="004428F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Zablokovat přístup k ThePay Účtu, </w:t>
      </w:r>
    </w:p>
    <w:p w:rsidR="004F3F29" w:rsidRDefault="004428F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82" w:hanging="357"/>
        <w:jc w:val="both"/>
        <w:rPr>
          <w:sz w:val="18"/>
          <w:szCs w:val="18"/>
        </w:rPr>
      </w:pPr>
      <w:r>
        <w:rPr>
          <w:sz w:val="18"/>
          <w:szCs w:val="18"/>
        </w:rPr>
        <w:t>Zrušit ThePay Účet, či některou z jeho funkcionalit.</w:t>
      </w:r>
    </w:p>
    <w:p w:rsidR="004F3F29" w:rsidRDefault="004F3F29">
      <w:pPr>
        <w:tabs>
          <w:tab w:val="left" w:pos="426"/>
        </w:tabs>
        <w:spacing w:after="0" w:line="240" w:lineRule="auto"/>
        <w:ind w:left="720"/>
        <w:jc w:val="both"/>
      </w:pP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jednostranně stanovovat transakční limity pro Operace s elektronickými penězi v rámci ThePay Účtu. Společnost ThePay je současně oprávněna jednostranně stanovovat minimální zůstatek na ThePay Účtu, a o tomto následně</w:t>
      </w:r>
      <w:r w:rsidR="00242926">
        <w:rPr>
          <w:sz w:val="18"/>
          <w:szCs w:val="18"/>
        </w:rPr>
        <w:t xml:space="preserve"> </w:t>
      </w:r>
      <w:r>
        <w:rPr>
          <w:sz w:val="18"/>
          <w:szCs w:val="18"/>
        </w:rPr>
        <w:t>Partnera informovat. Zůstatek může sloužit k uhrazení pohledávek Společnosti ThePay, nebo třetích osob za Partnerem. Výše zůstatku musí být přiměřená jeho účelu.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po Partnerovi požadovat navýšení zůstatku ThePay účtu a sdělit mu na vyžádání důvod tohoto požadavku.</w:t>
      </w:r>
      <w:r w:rsidR="00ED0228">
        <w:rPr>
          <w:sz w:val="18"/>
          <w:szCs w:val="18"/>
        </w:rPr>
        <w:t xml:space="preserve"> Společnost ThePay je současně </w:t>
      </w:r>
      <w:r w:rsidR="00ED0228">
        <w:rPr>
          <w:sz w:val="18"/>
          <w:szCs w:val="18"/>
        </w:rPr>
        <w:lastRenderedPageBreak/>
        <w:t>v odůvodněných případech oprávněna požadovat po Partnerovi uzavření samostatné smlouvy o složení jistoty za účelem zajištění vyšších rizik plynoucích ze Smlouvy.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Pokud bude Společnosti ThePay oprávněnou osobou (např. exekuční úřad, soud, atp.) nařízeno, aby peníze Partnera uhradila ve prospěch této oprávněné osoby či osoby třetí, Společnost ThePay tak učiní. Partner s tímto souhlasí a nastane-li takový případ, automaticky se presumuje, že dává souhlas ke Zpětné výměně elektronických peněz ve prospěch těchto osob.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Zrušení ThePay Účtu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Smlouva je uzavřena na dobu ve Smlouvě uvedenou, její předčasné ukončení je možné jen písemnou dohodou Společností ThePay a Partnera, nebo způsobem popsaným v těchto Podmínkách. Dnem ukončení Smlouvy se automaticky ruší i ThePay Účet.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V případě, že je Smlouva uzavřena na dobu určitou a žádná ze stran nesdělí druhé straně nejméně 30 kalendářních dní před uplynutím Smlouvy, že na pokračování Smlouvy nemá zájem, a Společnost ThePay pokračuje v plnění Smlouvy zpřístupněním ThePay Účtu i po uplynutí Smlouvy, má se za to, že došlo k prodloužení trvání Smlouvy na dobu neurčitou.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V případě, že je Smlouva uzavřena na dobu neurčitou, je Partner oprávněn Smlouvu ukončit i bez udání důvodu písemnou výpovědí, a to s</w:t>
      </w:r>
      <w:r w:rsidR="00ED0228">
        <w:rPr>
          <w:sz w:val="18"/>
          <w:szCs w:val="18"/>
        </w:rPr>
        <w:t xml:space="preserve"> tříměsíční výpovědí dobou, kter</w:t>
      </w:r>
      <w:r>
        <w:rPr>
          <w:sz w:val="18"/>
          <w:szCs w:val="18"/>
        </w:rPr>
        <w:t>á začíná běžet od prvního dn</w:t>
      </w:r>
      <w:r w:rsidR="00ED0228">
        <w:rPr>
          <w:sz w:val="18"/>
          <w:szCs w:val="18"/>
        </w:rPr>
        <w:t>e měsíce následujícího po měsíci</w:t>
      </w:r>
      <w:r>
        <w:rPr>
          <w:sz w:val="18"/>
          <w:szCs w:val="18"/>
        </w:rPr>
        <w:t>, v němž byla výpověď Společnosti ThePay doručena.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Smlouvu na dobu určitou i dobu neurčitou vypovědět i bez udání důvodů kdykoli, a to s</w:t>
      </w:r>
      <w:r w:rsidR="00ED0228">
        <w:rPr>
          <w:sz w:val="18"/>
          <w:szCs w:val="18"/>
        </w:rPr>
        <w:t xml:space="preserve"> tříměsíční výpovědí dobou, kter</w:t>
      </w:r>
      <w:r>
        <w:rPr>
          <w:sz w:val="18"/>
          <w:szCs w:val="18"/>
        </w:rPr>
        <w:t>á začíná běžet od prvního dn</w:t>
      </w:r>
      <w:r w:rsidR="00ED0228">
        <w:rPr>
          <w:sz w:val="18"/>
          <w:szCs w:val="18"/>
        </w:rPr>
        <w:t>e měsíce následujícího po měsíci</w:t>
      </w:r>
      <w:r>
        <w:rPr>
          <w:sz w:val="18"/>
          <w:szCs w:val="18"/>
        </w:rPr>
        <w:t>, v němž byla výpověď Part</w:t>
      </w:r>
      <w:r w:rsidR="00ED0228">
        <w:rPr>
          <w:sz w:val="18"/>
          <w:szCs w:val="18"/>
        </w:rPr>
        <w:t>n</w:t>
      </w:r>
      <w:r>
        <w:rPr>
          <w:sz w:val="18"/>
          <w:szCs w:val="18"/>
        </w:rPr>
        <w:t>erovi doručena.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V případě sjednání bezplatného využívání ThePay Účtu v prvním měsíci trvání Smlouvy je Partner oprávněn Smlouvu bezplatně vypovědět nejpozději k poslednímu dni prvního měsíce trvání smlouvy.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Pokud Partner nesouhlasí s novým zněním Podmínek, je Partner oprávněn Smlouvu písemně vypovědět s účinností ke dni účinnosti nového znění Podmínek.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od Smlouvy odstoupit s okamžitou účinností, jestliže Partner poruší Pravidla závažným způsobem, nebo méně závažným způsobem opakovaně, nebo soustavně a/nebo se chová rizikově a takové chování dosahuje intenzity, které by mohlo ohrozit dobré jméno Společnosti ThePay</w:t>
      </w:r>
      <w:r w:rsidR="00242926">
        <w:rPr>
          <w:sz w:val="18"/>
          <w:szCs w:val="18"/>
        </w:rPr>
        <w:t>. S</w:t>
      </w:r>
      <w:r>
        <w:rPr>
          <w:sz w:val="18"/>
          <w:szCs w:val="18"/>
        </w:rPr>
        <w:t xml:space="preserve">polečnost ThePay </w:t>
      </w:r>
      <w:r w:rsidR="00242926">
        <w:rPr>
          <w:sz w:val="18"/>
          <w:szCs w:val="18"/>
        </w:rPr>
        <w:t xml:space="preserve">může také </w:t>
      </w:r>
      <w:r>
        <w:rPr>
          <w:sz w:val="18"/>
          <w:szCs w:val="18"/>
        </w:rPr>
        <w:t xml:space="preserve">odstoupit od Smlouvy s okamžitou účinností i bez udání důvodu.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Výpověď či odstoupení od Smlouvy mohou být druhé smluvní straně doručeny písemně v listinné formě na adresu sídla nebo e-mailem. V případě e-mailové komunikace musí </w:t>
      </w:r>
      <w:r>
        <w:rPr>
          <w:sz w:val="18"/>
          <w:szCs w:val="18"/>
        </w:rPr>
        <w:lastRenderedPageBreak/>
        <w:t xml:space="preserve">být smluvní straně doručen sken výpovědi či odstoupení od Smlouvy podepsaných oprávněnou osobou druhé smluvní strany.  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Další ustanovení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bere na vědomí, že může být Společnost ThePay v některých případech povinna nahlásit podezřelé skutečnosti orgánům činným v trestním řízení, České národní bance, Finančně analytickému útvaru Ministerstva financí, či dalším orgánům ve věci příslušným.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je povinen poskytnout veškerou součinnost Společnosti ThePay, orgánům činným v trestním řízení, České národní bance, Finančně analytickému útvaru Ministerstva financí, či dalším orgánům ve věci příslušným při prověřování Zákazníků ve vztahu k porušování Nadřazených pravidel.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souhlas</w:t>
      </w:r>
      <w:r w:rsidR="00ED0228">
        <w:rPr>
          <w:sz w:val="18"/>
          <w:szCs w:val="18"/>
        </w:rPr>
        <w:t>í</w:t>
      </w:r>
      <w:r>
        <w:rPr>
          <w:sz w:val="18"/>
          <w:szCs w:val="18"/>
        </w:rPr>
        <w:t xml:space="preserve"> s tím, že Společnost ThePay může namátkou provádět kontrolní kroky za účelem zjišťování dodržování Pravidel.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souhlasí s tím, že Společnost ThePay neodpovídá za škodu a není povinna k její náhradě v případě, že škoda vznikne v důsledku jednání Partnera, které může spočívat i v opomenutí, či v důsledku jednání jeho </w:t>
      </w:r>
      <w:r w:rsidR="00366000">
        <w:rPr>
          <w:sz w:val="18"/>
          <w:szCs w:val="18"/>
        </w:rPr>
        <w:t>Přispěvatelů</w:t>
      </w:r>
      <w:r>
        <w:rPr>
          <w:sz w:val="18"/>
          <w:szCs w:val="18"/>
        </w:rPr>
        <w:t>. Společnost ThePay neodpovídá za škodu vzniklou v důsledku pochybení Partnera např. při využívání ThePay Účtu ani v případě, že Partner mohl vzniku škody zabránit včasným zásahem.</w:t>
      </w:r>
      <w:r w:rsidR="00242926">
        <w:rPr>
          <w:sz w:val="18"/>
          <w:szCs w:val="18"/>
        </w:rPr>
        <w:t xml:space="preserve"> Společnost ThePay neodpovídá za škodu způsobenou vlivem třetích stran a okolností, jež Společn</w:t>
      </w:r>
      <w:r w:rsidR="00ED0228">
        <w:rPr>
          <w:sz w:val="18"/>
          <w:szCs w:val="18"/>
        </w:rPr>
        <w:t>o</w:t>
      </w:r>
      <w:r w:rsidR="00242926">
        <w:rPr>
          <w:sz w:val="18"/>
          <w:szCs w:val="18"/>
        </w:rPr>
        <w:t>st ThePay nemá v moci ovlivnit.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je povinen nahradit škodu v plném rozsahu, pokud poruší jakékoli ustanovení Pravidel, a Společnost ThePay bude v této souvislosti sankcionována (např. smluvní pokuty ze strany Poskytovatele, pokuta ze strany správních orgánů, soudů atp.). Společnost The</w:t>
      </w:r>
      <w:r w:rsidR="00ED0228">
        <w:rPr>
          <w:sz w:val="18"/>
          <w:szCs w:val="18"/>
        </w:rPr>
        <w:t>Pay upozorňuje, že škody se mohou</w:t>
      </w:r>
      <w:r>
        <w:rPr>
          <w:sz w:val="18"/>
          <w:szCs w:val="18"/>
        </w:rPr>
        <w:t xml:space="preserve"> pohybovat až v řádech milionů korun českých.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ThePay není stranou smluvních vztahů mezi Partnerem a </w:t>
      </w:r>
      <w:r w:rsidR="00A01E8B">
        <w:rPr>
          <w:sz w:val="18"/>
          <w:szCs w:val="18"/>
        </w:rPr>
        <w:t>Přispěvatelem</w:t>
      </w:r>
      <w:r>
        <w:rPr>
          <w:sz w:val="18"/>
          <w:szCs w:val="18"/>
        </w:rPr>
        <w:t xml:space="preserve">, a nenese tak odpovědnost vůči </w:t>
      </w:r>
      <w:r w:rsidR="005742BC">
        <w:rPr>
          <w:sz w:val="18"/>
          <w:szCs w:val="18"/>
        </w:rPr>
        <w:t>Přispěvateli</w:t>
      </w:r>
      <w:r>
        <w:rPr>
          <w:sz w:val="18"/>
          <w:szCs w:val="18"/>
        </w:rPr>
        <w:t xml:space="preserve"> ani vůči Partnerovi vyplývající ze závazků mezi Partnerem a </w:t>
      </w:r>
      <w:r w:rsidR="00A01E8B">
        <w:rPr>
          <w:sz w:val="18"/>
          <w:szCs w:val="18"/>
        </w:rPr>
        <w:t>Přispěvatelem</w:t>
      </w:r>
      <w:r>
        <w:rPr>
          <w:sz w:val="18"/>
          <w:szCs w:val="18"/>
        </w:rPr>
        <w:t>, jejich porušení a vypořádání jejich vzájemných pohledávek.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uzavřením Smlouvy prohlašuje, že není politicky exponovanou o</w:t>
      </w:r>
      <w:r w:rsidR="00DD77F5">
        <w:rPr>
          <w:sz w:val="18"/>
          <w:szCs w:val="18"/>
        </w:rPr>
        <w:t xml:space="preserve">sobou ve smyslu AML pravidel, </w:t>
      </w:r>
      <w:r>
        <w:rPr>
          <w:sz w:val="18"/>
          <w:szCs w:val="18"/>
        </w:rPr>
        <w:t xml:space="preserve">pokud </w:t>
      </w:r>
      <w:r w:rsidR="00DD77F5">
        <w:rPr>
          <w:sz w:val="18"/>
          <w:szCs w:val="18"/>
        </w:rPr>
        <w:t xml:space="preserve">jí ale je, nebo </w:t>
      </w:r>
      <w:r>
        <w:rPr>
          <w:sz w:val="18"/>
          <w:szCs w:val="18"/>
        </w:rPr>
        <w:t>se jí v průběhu trvání smluvního vztahu stane, je povinen toto bezodkladně oznámit Společnosti ThePay.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bookmarkStart w:id="1" w:name="h.gjdgxs" w:colFirst="0" w:colLast="0"/>
      <w:bookmarkEnd w:id="1"/>
      <w:r>
        <w:rPr>
          <w:sz w:val="18"/>
          <w:szCs w:val="18"/>
        </w:rPr>
        <w:t>Partner</w:t>
      </w:r>
      <w:r w:rsidR="002E7ADC">
        <w:rPr>
          <w:sz w:val="18"/>
          <w:szCs w:val="18"/>
        </w:rPr>
        <w:t xml:space="preserve"> a Přispěvatel se zavazují</w:t>
      </w:r>
      <w:r>
        <w:rPr>
          <w:sz w:val="18"/>
          <w:szCs w:val="18"/>
        </w:rPr>
        <w:t xml:space="preserve"> nečinit žádné kroky, které by mohly poškodit dobré jméno Společnosti ThePay.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Reklamace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lastRenderedPageBreak/>
        <w:t xml:space="preserve">Partner </w:t>
      </w:r>
      <w:r w:rsidR="002E7ADC">
        <w:rPr>
          <w:sz w:val="18"/>
          <w:szCs w:val="18"/>
        </w:rPr>
        <w:t xml:space="preserve">a Přispěvatel jsou </w:t>
      </w:r>
      <w:r>
        <w:rPr>
          <w:sz w:val="18"/>
          <w:szCs w:val="18"/>
        </w:rPr>
        <w:t>oprávněn</w:t>
      </w:r>
      <w:r w:rsidR="002E7ADC">
        <w:rPr>
          <w:sz w:val="18"/>
          <w:szCs w:val="18"/>
        </w:rPr>
        <w:t>i</w:t>
      </w:r>
      <w:r>
        <w:rPr>
          <w:sz w:val="18"/>
          <w:szCs w:val="18"/>
        </w:rPr>
        <w:t xml:space="preserve"> reklamovat služby poskytované Společností ThePay v souladu s Reklamačním řádem, který je umístěn na webových stránkách Společnosti ThePay www.thepay.cz.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Poplatky spojené s užíváním ThePay Účtu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Za služby poskytované na základě Smlouvy a Podmínek je Partner povinen Společnosti ThePay hradit poplatky stanovené v Sazebníku poplatků, který je umístěn na webových stránkách Společnosti ThePay www.thepay.cz.</w:t>
      </w:r>
      <w:r w:rsidR="002E7ADC">
        <w:rPr>
          <w:sz w:val="18"/>
          <w:szCs w:val="18"/>
        </w:rPr>
        <w:t xml:space="preserve"> a ceny stanovené v Cenové nabídce.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Uzavřením Smlouvy činí Partner bezvýhradný souhlas, že může Společnost ThePay z jeho ThePay Účtu odečítat částky odpovídající poplatkům dle Sazebníku poplatků. V případě nedostatečného zůstatku, může Společnost ThePay požadovat navýšení ThePay účtu, anebo přímou platbu dle pokynů Spol</w:t>
      </w:r>
      <w:r w:rsidR="00B56FB8">
        <w:rPr>
          <w:sz w:val="18"/>
          <w:szCs w:val="18"/>
        </w:rPr>
        <w:t>ečno</w:t>
      </w:r>
      <w:r w:rsidR="00ED0228">
        <w:rPr>
          <w:sz w:val="18"/>
          <w:szCs w:val="18"/>
        </w:rPr>
        <w:t>sti ThePay, příp. jiný obdobný způsob</w:t>
      </w:r>
      <w:r w:rsidR="00B56FB8">
        <w:rPr>
          <w:sz w:val="18"/>
          <w:szCs w:val="18"/>
        </w:rPr>
        <w:t>, pokud to Společnost ThePay umožní.</w:t>
      </w:r>
      <w:r>
        <w:rPr>
          <w:sz w:val="18"/>
          <w:szCs w:val="18"/>
        </w:rPr>
        <w:t xml:space="preserve">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a Společnost ThePay si sjednávají právo na úplatu za provedení Zpětné výměny elektronických peněz v případě předčasného ukonče</w:t>
      </w:r>
      <w:r w:rsidR="006F289A">
        <w:rPr>
          <w:sz w:val="18"/>
          <w:szCs w:val="18"/>
        </w:rPr>
        <w:t>ní Smlouvy vyvolaného Partnerem.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si vyhrazuje právo jednostranně změnit Sazebník poplatků, příp. pouze jednotlivé položky, a to i individuálně ve vztahu k jednotlivým Partnerům. Změna Sazebníku poplatků se řídí stejnými pravidly jako změna Podmínek.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>Obchodní tajemství a ochrana osobních údajů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Informace o skutečnostech a okolnostech spolupráce Partnera a Společnosti ThePay podle Smlouvy a Pravidel, zejména pak i</w:t>
      </w:r>
      <w:r w:rsidR="00AF6173">
        <w:rPr>
          <w:sz w:val="18"/>
          <w:szCs w:val="18"/>
        </w:rPr>
        <w:t>nformace o platbách, Přispěvatelích</w:t>
      </w:r>
      <w:r>
        <w:rPr>
          <w:sz w:val="18"/>
          <w:szCs w:val="18"/>
        </w:rPr>
        <w:t>, obsahu ThePay Účtu se považují za důvěrné a budou chráněny jako obchodní tajemství, a to i po skončení smluvního vztahu. Tím není dotčen jiný vyšší zákonný standard ochrany některých informací, např. z titulu bankovního tajemství.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</w:t>
      </w:r>
      <w:r w:rsidR="005C66EA">
        <w:rPr>
          <w:sz w:val="18"/>
          <w:szCs w:val="18"/>
        </w:rPr>
        <w:t>řispěvatel</w:t>
      </w:r>
      <w:r>
        <w:rPr>
          <w:sz w:val="18"/>
          <w:szCs w:val="18"/>
        </w:rPr>
        <w:t xml:space="preserve">, je-li </w:t>
      </w:r>
      <w:r w:rsidR="00741DA1">
        <w:rPr>
          <w:sz w:val="18"/>
          <w:szCs w:val="18"/>
        </w:rPr>
        <w:t xml:space="preserve">fyzickou osobou, udílí </w:t>
      </w:r>
      <w:r w:rsidR="00B009D8">
        <w:rPr>
          <w:sz w:val="18"/>
          <w:szCs w:val="18"/>
        </w:rPr>
        <w:t>odesláním formuláře s vyplněnými údaji</w:t>
      </w:r>
      <w:r w:rsidR="00741DA1">
        <w:rPr>
          <w:sz w:val="18"/>
          <w:szCs w:val="18"/>
        </w:rPr>
        <w:t xml:space="preserve"> </w:t>
      </w:r>
      <w:r>
        <w:rPr>
          <w:sz w:val="18"/>
          <w:szCs w:val="18"/>
        </w:rPr>
        <w:t>souhlas se zpracováním svých osobních údajů poskytovaných Společnosti</w:t>
      </w:r>
      <w:r w:rsidR="0023582C">
        <w:rPr>
          <w:sz w:val="18"/>
          <w:szCs w:val="18"/>
        </w:rPr>
        <w:t xml:space="preserve"> ThePay v rámci spolupráce Společnosti ThePay a Partnera</w:t>
      </w:r>
      <w:r>
        <w:rPr>
          <w:sz w:val="18"/>
          <w:szCs w:val="18"/>
        </w:rPr>
        <w:t xml:space="preserve">, </w:t>
      </w:r>
      <w:r w:rsidR="00BC4C25">
        <w:rPr>
          <w:sz w:val="18"/>
          <w:szCs w:val="18"/>
        </w:rPr>
        <w:t xml:space="preserve">pokud osobní údaje poskytuje, </w:t>
      </w:r>
      <w:r>
        <w:rPr>
          <w:sz w:val="18"/>
          <w:szCs w:val="18"/>
        </w:rPr>
        <w:t>a to výhradně pro účely s</w:t>
      </w:r>
      <w:r w:rsidR="0023582C">
        <w:rPr>
          <w:sz w:val="18"/>
          <w:szCs w:val="18"/>
        </w:rPr>
        <w:t>ouvisející s poskytováním darů</w:t>
      </w:r>
      <w:r w:rsidR="00C11B8B">
        <w:rPr>
          <w:sz w:val="18"/>
          <w:szCs w:val="18"/>
        </w:rPr>
        <w:t xml:space="preserve"> či jiných plateb</w:t>
      </w:r>
      <w:r>
        <w:rPr>
          <w:sz w:val="18"/>
          <w:szCs w:val="18"/>
        </w:rPr>
        <w:t xml:space="preserve"> </w:t>
      </w:r>
      <w:r w:rsidR="0023582C">
        <w:rPr>
          <w:sz w:val="18"/>
          <w:szCs w:val="18"/>
        </w:rPr>
        <w:t>Partnerovi</w:t>
      </w:r>
      <w:r>
        <w:rPr>
          <w:sz w:val="18"/>
          <w:szCs w:val="18"/>
        </w:rPr>
        <w:t>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Souhlas se zpracováním osobní</w:t>
      </w:r>
      <w:r w:rsidR="00B009D8">
        <w:rPr>
          <w:sz w:val="18"/>
          <w:szCs w:val="18"/>
        </w:rPr>
        <w:t xml:space="preserve">ch údajů se udílí až do vyslovení nesouhlasu s tímto zpracováním. </w:t>
      </w:r>
      <w:r w:rsidR="00B06717">
        <w:rPr>
          <w:sz w:val="18"/>
          <w:szCs w:val="18"/>
        </w:rPr>
        <w:t>Přispěvatel</w:t>
      </w:r>
      <w:r>
        <w:rPr>
          <w:sz w:val="18"/>
          <w:szCs w:val="18"/>
        </w:rPr>
        <w:t xml:space="preserve">, jsou-li Společností ThePay zpracovávány jeho osobní údaje, má po celou tuto dobu právo souhlas se zpracováním osobních údajů kdykoli odvolat. </w:t>
      </w:r>
      <w:r w:rsidR="006F289A">
        <w:rPr>
          <w:sz w:val="18"/>
          <w:szCs w:val="18"/>
        </w:rPr>
        <w:t>Přispěvatel</w:t>
      </w:r>
      <w:r>
        <w:rPr>
          <w:sz w:val="18"/>
          <w:szCs w:val="18"/>
        </w:rPr>
        <w:t xml:space="preserve"> má právo na přístup k osobním údajům spravovaným Společností ThePay,</w:t>
      </w:r>
      <w:r w:rsidR="006F289A">
        <w:rPr>
          <w:sz w:val="18"/>
          <w:szCs w:val="18"/>
        </w:rPr>
        <w:t xml:space="preserve"> jakož i právo na jejich opravu.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Společnost ThePay je oprávněna </w:t>
      </w:r>
      <w:r w:rsidR="00B06717">
        <w:rPr>
          <w:sz w:val="18"/>
          <w:szCs w:val="18"/>
        </w:rPr>
        <w:t>poskytovat osobní údaje Přispěvatele</w:t>
      </w:r>
      <w:r>
        <w:rPr>
          <w:sz w:val="18"/>
          <w:szCs w:val="18"/>
        </w:rPr>
        <w:t xml:space="preserve"> výhradně</w:t>
      </w:r>
      <w:r w:rsidR="00B06717">
        <w:rPr>
          <w:sz w:val="18"/>
          <w:szCs w:val="18"/>
        </w:rPr>
        <w:t xml:space="preserve"> Partnerovi a</w:t>
      </w:r>
      <w:r>
        <w:rPr>
          <w:sz w:val="18"/>
          <w:szCs w:val="18"/>
        </w:rPr>
        <w:t xml:space="preserve"> subjektům, které jsou k jejich požadování oprávněni dle platných právních </w:t>
      </w:r>
      <w:r>
        <w:rPr>
          <w:sz w:val="18"/>
          <w:szCs w:val="18"/>
        </w:rPr>
        <w:lastRenderedPageBreak/>
        <w:t>předpisů, Poskytovatelům v souvislosti s provedenými platbami, a v případě jejich zpracování zpra</w:t>
      </w:r>
      <w:r w:rsidR="00B06717">
        <w:rPr>
          <w:sz w:val="18"/>
          <w:szCs w:val="18"/>
        </w:rPr>
        <w:t>covatel</w:t>
      </w:r>
      <w:r w:rsidR="00375844">
        <w:rPr>
          <w:sz w:val="18"/>
          <w:szCs w:val="18"/>
        </w:rPr>
        <w:t>em pro Partnera</w:t>
      </w:r>
      <w:r>
        <w:rPr>
          <w:sz w:val="18"/>
          <w:szCs w:val="18"/>
        </w:rPr>
        <w:t xml:space="preserve"> na základě samostatné písemné smlouvy též takovému zpracovateli.</w:t>
      </w:r>
    </w:p>
    <w:p w:rsidR="004F3F29" w:rsidRPr="00F1219C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Pro případ, že by, například v souvislosti s reklamací plateb, Společnost ThePay z</w:t>
      </w:r>
      <w:r w:rsidR="00A5752D">
        <w:rPr>
          <w:sz w:val="18"/>
          <w:szCs w:val="18"/>
        </w:rPr>
        <w:t>ískala osobní údaje o Přispěvateli</w:t>
      </w:r>
      <w:r>
        <w:rPr>
          <w:sz w:val="18"/>
          <w:szCs w:val="18"/>
        </w:rPr>
        <w:t xml:space="preserve">, nebudou takové osobní údaje zpracovávány ve smyslu zákona a v případě, že jejich využití nebude do budoucna potřebné, budou bez zbytečného odkladu zlikvidovány. </w:t>
      </w:r>
    </w:p>
    <w:p w:rsidR="0005284C" w:rsidRDefault="00F1219C" w:rsidP="0005284C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Partner </w:t>
      </w:r>
      <w:r w:rsidR="00F74393">
        <w:rPr>
          <w:sz w:val="18"/>
          <w:szCs w:val="18"/>
        </w:rPr>
        <w:t>a osoby</w:t>
      </w:r>
      <w:r>
        <w:rPr>
          <w:sz w:val="18"/>
          <w:szCs w:val="18"/>
        </w:rPr>
        <w:t xml:space="preserve"> Partnera zastupující</w:t>
      </w:r>
      <w:r w:rsidR="00F74393">
        <w:rPr>
          <w:sz w:val="18"/>
          <w:szCs w:val="18"/>
        </w:rPr>
        <w:t>,</w:t>
      </w:r>
      <w:r>
        <w:rPr>
          <w:sz w:val="18"/>
          <w:szCs w:val="18"/>
        </w:rPr>
        <w:t xml:space="preserve"> dávají souhlas s pořízením kopie občanského průkazu, cestovního pasu či jiného dokladu pro účely identifikace podle AML pravidel.</w:t>
      </w:r>
    </w:p>
    <w:p w:rsidR="004F3F29" w:rsidRDefault="004428F1">
      <w:pPr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center"/>
      </w:pPr>
      <w:r>
        <w:rPr>
          <w:b/>
          <w:sz w:val="18"/>
          <w:szCs w:val="18"/>
        </w:rPr>
        <w:t xml:space="preserve">Závěrečná ustanovení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Komunikace mezi Partnerem a Společností ThePay probíhá v českém jazyce, a to primárně písemnou formou prostřednictvím e-mailových adres. Stejnou váhu mají i sdělení uvedená přímo v ThePay Účtu, za okamžik doručení se v takovém případě považuje přihlášení Partnerem do ThePay Účtu. Kontaktní osobou je osoba uvedená ve Smlouvě, neuvede-li Partner písemně osobu jinou.</w:t>
      </w:r>
    </w:p>
    <w:p w:rsidR="004F3F29" w:rsidRPr="00EF5E9C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souhlasí se zasíláním informací o službách poskytovaných Společností ThePay, o informacích souvisejících s ThePay Účtem, a dále souhlasí se zasíláním obchodních a propagačních sdělení. Partner může písemně oznámit, že nesouhlasí se zasíláním obchodních a propagačních sdělení.</w:t>
      </w:r>
    </w:p>
    <w:p w:rsidR="00EF5E9C" w:rsidRDefault="00EF5E9C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Partnerovi n</w:t>
      </w:r>
      <w:r w:rsidR="009244A3">
        <w:rPr>
          <w:sz w:val="18"/>
          <w:szCs w:val="18"/>
        </w:rPr>
        <w:t xml:space="preserve">ařídit, aby do svých </w:t>
      </w:r>
      <w:r>
        <w:rPr>
          <w:sz w:val="18"/>
          <w:szCs w:val="18"/>
        </w:rPr>
        <w:t xml:space="preserve">podmínek na Platformu bez zbytečného odkladu od písemného oznámení Partner uvedl údaje, které bude </w:t>
      </w:r>
      <w:r w:rsidR="00397179">
        <w:rPr>
          <w:sz w:val="18"/>
          <w:szCs w:val="18"/>
        </w:rPr>
        <w:t>vyžadovat</w:t>
      </w:r>
      <w:r w:rsidR="00126F43">
        <w:rPr>
          <w:sz w:val="18"/>
          <w:szCs w:val="18"/>
        </w:rPr>
        <w:t xml:space="preserve"> Společnost ThePay,</w:t>
      </w:r>
      <w:r w:rsidR="00397179">
        <w:rPr>
          <w:sz w:val="18"/>
          <w:szCs w:val="18"/>
        </w:rPr>
        <w:t xml:space="preserve"> Poskytovatel, či jiná oprávněná osoba.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Partner není oprávněn postoupit či jakkoli převést svá práva, pohledávky, či závazky na třetí osobu bez předchozího písemného souhlasu Společnosti ThePay. Společnost ThePay si vyhrazuje právo pohledávky za Partnerem převést a je povinna jej o tom bezodkladně informovat. Smluvní strany se dohodly, že i nejistá nebo neurčitá pohledávka je způsobilá k započtení.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Veškeré právní vztahy mezi Partnerem a Společností ThePay se řídí právním řádem České republiky, zejména zákonem č. 89/2012 Sb., občanským zákoníkem a ZPS. 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Případné spory jsou řešeny primárně smírnou cestou a v případě, že se je nepodaří smírně vyřešit, rozhodují spory ve smyslu § 89a zákona č. 99/1963 Sb., občanského soudního řádu soudy České republiky dle místa sídla Společnosti ThePay.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 xml:space="preserve">Ustanovení Smlouvy a těchto Podmínek jsou oddělitelná. Pokud by jakékoliv ustanovení bylo kdykoliv prohlášeno za neplatné, neúčinné nebo nevynutitelné, potom zbývající </w:t>
      </w:r>
      <w:r>
        <w:rPr>
          <w:sz w:val="18"/>
          <w:szCs w:val="18"/>
        </w:rPr>
        <w:lastRenderedPageBreak/>
        <w:t>ustanovení nebudou neplatností, neúčinností nebo nevynutitelností jiných ustanovení stižena, a zůstanou v platnosti, účinná a vynutitelná.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Společnost ThePay je oprávněna j</w:t>
      </w:r>
      <w:r w:rsidR="00397179">
        <w:rPr>
          <w:sz w:val="18"/>
          <w:szCs w:val="18"/>
        </w:rPr>
        <w:t>ednostranně měnit Podmínky, Sazebník poplatků a Reklamační řád</w:t>
      </w:r>
      <w:r>
        <w:rPr>
          <w:sz w:val="18"/>
          <w:szCs w:val="18"/>
        </w:rPr>
        <w:t xml:space="preserve"> a Partner s tímto bezvý</w:t>
      </w:r>
      <w:r w:rsidR="00DD77F5">
        <w:rPr>
          <w:sz w:val="18"/>
          <w:szCs w:val="18"/>
        </w:rPr>
        <w:t xml:space="preserve">hradně souhlasí. Změna </w:t>
      </w:r>
      <w:r>
        <w:rPr>
          <w:sz w:val="18"/>
          <w:szCs w:val="18"/>
        </w:rPr>
        <w:t>musí být Partnerovi</w:t>
      </w:r>
      <w:r w:rsidR="00397179">
        <w:rPr>
          <w:sz w:val="18"/>
          <w:szCs w:val="18"/>
        </w:rPr>
        <w:t xml:space="preserve"> sdělena s předstihem nejméně 10</w:t>
      </w:r>
      <w:r>
        <w:rPr>
          <w:sz w:val="18"/>
          <w:szCs w:val="18"/>
        </w:rPr>
        <w:t xml:space="preserve"> kalendářních dnů přede dnem účinnosti, a to buď e-mailem a/nebo prostřednictvím oznámení v ThePay Účtu.</w:t>
      </w:r>
      <w:r w:rsidR="00DD77F5">
        <w:rPr>
          <w:sz w:val="18"/>
          <w:szCs w:val="18"/>
        </w:rPr>
        <w:t xml:space="preserve"> Úpravy grafické podoby a jazykové korektury nejsou změnou Pravidel a mohou být činěny průběžně.</w:t>
      </w:r>
    </w:p>
    <w:p w:rsidR="004F3F29" w:rsidRPr="007A762B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Pokud Partner neso</w:t>
      </w:r>
      <w:r w:rsidR="00397179">
        <w:rPr>
          <w:sz w:val="18"/>
          <w:szCs w:val="18"/>
        </w:rPr>
        <w:t>uhlasí s novým zněním Podmínek, Sazebníku poplatků a Reklamačního řádu</w:t>
      </w:r>
      <w:r>
        <w:rPr>
          <w:sz w:val="18"/>
          <w:szCs w:val="18"/>
        </w:rPr>
        <w:t>, je Partner oprávněn Smlouvu písemně vypovědět s účinností ke dni</w:t>
      </w:r>
      <w:r w:rsidR="00397179">
        <w:rPr>
          <w:sz w:val="18"/>
          <w:szCs w:val="18"/>
        </w:rPr>
        <w:t xml:space="preserve"> účinnosti nového znění. </w:t>
      </w:r>
      <w:r>
        <w:rPr>
          <w:sz w:val="18"/>
          <w:szCs w:val="18"/>
        </w:rPr>
        <w:t>Neučin</w:t>
      </w:r>
      <w:r w:rsidR="00397179">
        <w:rPr>
          <w:sz w:val="18"/>
          <w:szCs w:val="18"/>
        </w:rPr>
        <w:t xml:space="preserve">í-li tak, nabývají nové Podmínky, Sazebník poplatků a Reklamační řád </w:t>
      </w:r>
      <w:r>
        <w:rPr>
          <w:sz w:val="18"/>
          <w:szCs w:val="18"/>
        </w:rPr>
        <w:t>účinnosti v den stanovené účinnosti.</w:t>
      </w:r>
    </w:p>
    <w:p w:rsidR="007A762B" w:rsidRPr="007A762B" w:rsidRDefault="007A762B" w:rsidP="007A762B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sz w:val="18"/>
          <w:szCs w:val="18"/>
        </w:rPr>
      </w:pPr>
      <w:r w:rsidRPr="007A762B">
        <w:rPr>
          <w:sz w:val="18"/>
          <w:szCs w:val="18"/>
        </w:rPr>
        <w:t>Nadřazená pravidla a AML pravidla jsou s ohledem na jejich povahu měněna v nezávislosti na Společnost ThePay, a taktéž jejich platnost a účinnost nezávisí na Společnosti ThePay. Výjimku představují změny AML pravidel, která mohou být Společností ThePay měněna jednostranně s účinností ke dni zveřejnění, pokud změny neodporují zákonu č. 253/2008 Sb., o některých opatřeních proti legalizaci výnosů z trestné činnosti a financování terorismu.</w:t>
      </w:r>
    </w:p>
    <w:p w:rsidR="004F3F29" w:rsidRDefault="004428F1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sz w:val="18"/>
          <w:szCs w:val="18"/>
        </w:rPr>
        <w:t>Podmí</w:t>
      </w:r>
      <w:r w:rsidR="004E02FD">
        <w:rPr>
          <w:sz w:val="18"/>
          <w:szCs w:val="18"/>
        </w:rPr>
        <w:t>nky nabývají účinnosti dnem 1. 2. 2017</w:t>
      </w:r>
      <w:r>
        <w:rPr>
          <w:sz w:val="18"/>
          <w:szCs w:val="18"/>
        </w:rPr>
        <w:t>.</w:t>
      </w:r>
    </w:p>
    <w:p w:rsidR="004F3F29" w:rsidRDefault="004F3F29">
      <w:pPr>
        <w:tabs>
          <w:tab w:val="left" w:pos="426"/>
        </w:tabs>
        <w:spacing w:after="120" w:line="240" w:lineRule="auto"/>
        <w:jc w:val="center"/>
      </w:pPr>
    </w:p>
    <w:p w:rsidR="004F3F29" w:rsidRDefault="004F3F29">
      <w:pPr>
        <w:spacing w:after="120"/>
      </w:pPr>
    </w:p>
    <w:sectPr w:rsidR="004F3F29" w:rsidSect="00E3536E">
      <w:headerReference w:type="default" r:id="rId9"/>
      <w:footerReference w:type="default" r:id="rId10"/>
      <w:pgSz w:w="16838" w:h="11906" w:orient="landscape"/>
      <w:pgMar w:top="1418" w:right="1134" w:bottom="426" w:left="1134" w:header="0" w:footer="0" w:gutter="0"/>
      <w:pgNumType w:start="1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4C" w:rsidRDefault="00157B4C">
      <w:pPr>
        <w:spacing w:after="0" w:line="240" w:lineRule="auto"/>
      </w:pPr>
      <w:r>
        <w:separator/>
      </w:r>
    </w:p>
  </w:endnote>
  <w:endnote w:type="continuationSeparator" w:id="0">
    <w:p w:rsidR="00157B4C" w:rsidRDefault="001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29" w:rsidRDefault="004428F1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10785">
      <w:rPr>
        <w:noProof/>
      </w:rPr>
      <w:t>1</w:t>
    </w:r>
    <w:r>
      <w:fldChar w:fldCharType="end"/>
    </w:r>
  </w:p>
  <w:p w:rsidR="004F3F29" w:rsidRDefault="004F3F2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4C" w:rsidRDefault="00157B4C">
      <w:pPr>
        <w:spacing w:after="0" w:line="240" w:lineRule="auto"/>
      </w:pPr>
      <w:r>
        <w:separator/>
      </w:r>
    </w:p>
  </w:footnote>
  <w:footnote w:type="continuationSeparator" w:id="0">
    <w:p w:rsidR="00157B4C" w:rsidRDefault="0015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7" w:rsidRDefault="00E361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7AC"/>
    <w:multiLevelType w:val="multilevel"/>
    <w:tmpl w:val="18B2B8F8"/>
    <w:lvl w:ilvl="0">
      <w:start w:val="1"/>
      <w:numFmt w:val="lowerLetter"/>
      <w:lvlText w:val="%1)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">
    <w:nsid w:val="4CF049F8"/>
    <w:multiLevelType w:val="multilevel"/>
    <w:tmpl w:val="7F7E97D8"/>
    <w:lvl w:ilvl="0">
      <w:start w:val="1"/>
      <w:numFmt w:val="decimal"/>
      <w:lvlText w:val="%1."/>
      <w:lvlJc w:val="left"/>
      <w:pPr>
        <w:ind w:left="3970" w:firstLine="3970"/>
      </w:pPr>
      <w:rPr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567" w:firstLine="0"/>
      </w:pPr>
      <w:rPr>
        <w:sz w:val="17"/>
        <w:szCs w:val="17"/>
      </w:rPr>
    </w:lvl>
    <w:lvl w:ilvl="2">
      <w:start w:val="1"/>
      <w:numFmt w:val="decimal"/>
      <w:lvlText w:val="%1.%2.%3"/>
      <w:lvlJc w:val="left"/>
      <w:pPr>
        <w:ind w:left="1134" w:firstLine="568"/>
      </w:pPr>
    </w:lvl>
    <w:lvl w:ilvl="3">
      <w:start w:val="1"/>
      <w:numFmt w:val="lowerLetter"/>
      <w:lvlText w:val="(%4)"/>
      <w:lvlJc w:val="left"/>
      <w:pPr>
        <w:ind w:left="1418" w:firstLine="1134"/>
      </w:pPr>
    </w:lvl>
    <w:lvl w:ilvl="4">
      <w:start w:val="1"/>
      <w:numFmt w:val="lowerRoman"/>
      <w:lvlText w:val="(%5)"/>
      <w:lvlJc w:val="left"/>
      <w:pPr>
        <w:ind w:left="1701" w:firstLine="1417"/>
      </w:pPr>
    </w:lvl>
    <w:lvl w:ilvl="5">
      <w:start w:val="1"/>
      <w:numFmt w:val="bullet"/>
      <w:lvlText w:val="●"/>
      <w:lvlJc w:val="left"/>
      <w:pPr>
        <w:ind w:left="1420" w:firstLine="142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1704" w:firstLine="1704"/>
      </w:pPr>
    </w:lvl>
    <w:lvl w:ilvl="7">
      <w:start w:val="1"/>
      <w:numFmt w:val="lowerLetter"/>
      <w:lvlText w:val="%8."/>
      <w:lvlJc w:val="left"/>
      <w:pPr>
        <w:ind w:left="1988" w:firstLine="1988"/>
      </w:pPr>
    </w:lvl>
    <w:lvl w:ilvl="8">
      <w:start w:val="1"/>
      <w:numFmt w:val="lowerRoman"/>
      <w:lvlText w:val="%9."/>
      <w:lvlJc w:val="left"/>
      <w:pPr>
        <w:ind w:left="2272" w:firstLine="2272"/>
      </w:pPr>
    </w:lvl>
  </w:abstractNum>
  <w:abstractNum w:abstractNumId="2">
    <w:nsid w:val="4EE03C2B"/>
    <w:multiLevelType w:val="multilevel"/>
    <w:tmpl w:val="EEDAB2B0"/>
    <w:lvl w:ilvl="0">
      <w:start w:val="1"/>
      <w:numFmt w:val="lowerLetter"/>
      <w:lvlText w:val="%1)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DQ1NzaxNDYxMjewNDVR0lEKTi0uzszPAykwqwUAS8A+CSwAAAA="/>
  </w:docVars>
  <w:rsids>
    <w:rsidRoot w:val="004F3F29"/>
    <w:rsid w:val="0001031E"/>
    <w:rsid w:val="00017665"/>
    <w:rsid w:val="00027077"/>
    <w:rsid w:val="0005284C"/>
    <w:rsid w:val="000743E6"/>
    <w:rsid w:val="000B69EB"/>
    <w:rsid w:val="000D6185"/>
    <w:rsid w:val="000E1FC5"/>
    <w:rsid w:val="000E2C2D"/>
    <w:rsid w:val="00126F43"/>
    <w:rsid w:val="00157B4C"/>
    <w:rsid w:val="00161656"/>
    <w:rsid w:val="00173385"/>
    <w:rsid w:val="00174897"/>
    <w:rsid w:val="00195BF0"/>
    <w:rsid w:val="001A1C73"/>
    <w:rsid w:val="001A2420"/>
    <w:rsid w:val="001B387B"/>
    <w:rsid w:val="001B47A7"/>
    <w:rsid w:val="001B6CD2"/>
    <w:rsid w:val="001C33D6"/>
    <w:rsid w:val="001C432A"/>
    <w:rsid w:val="001E0ECE"/>
    <w:rsid w:val="00213799"/>
    <w:rsid w:val="00214A5A"/>
    <w:rsid w:val="00217FA8"/>
    <w:rsid w:val="00223F21"/>
    <w:rsid w:val="0023582C"/>
    <w:rsid w:val="0023786C"/>
    <w:rsid w:val="00242926"/>
    <w:rsid w:val="00256594"/>
    <w:rsid w:val="00261844"/>
    <w:rsid w:val="0028168F"/>
    <w:rsid w:val="002A09DA"/>
    <w:rsid w:val="002D0A72"/>
    <w:rsid w:val="002E7ADC"/>
    <w:rsid w:val="002F55B4"/>
    <w:rsid w:val="00320D66"/>
    <w:rsid w:val="00324E3C"/>
    <w:rsid w:val="0033381F"/>
    <w:rsid w:val="00344F3D"/>
    <w:rsid w:val="003637E2"/>
    <w:rsid w:val="00365CA6"/>
    <w:rsid w:val="00366000"/>
    <w:rsid w:val="0037212E"/>
    <w:rsid w:val="00375844"/>
    <w:rsid w:val="00380F43"/>
    <w:rsid w:val="00397179"/>
    <w:rsid w:val="003A4116"/>
    <w:rsid w:val="004118FD"/>
    <w:rsid w:val="004428F1"/>
    <w:rsid w:val="00446E09"/>
    <w:rsid w:val="00460D7F"/>
    <w:rsid w:val="00473BB1"/>
    <w:rsid w:val="00480EB8"/>
    <w:rsid w:val="004B0EF3"/>
    <w:rsid w:val="004C5B6D"/>
    <w:rsid w:val="004D0F89"/>
    <w:rsid w:val="004E02FD"/>
    <w:rsid w:val="004F3F29"/>
    <w:rsid w:val="00533A0A"/>
    <w:rsid w:val="00544BD6"/>
    <w:rsid w:val="00547305"/>
    <w:rsid w:val="00547A37"/>
    <w:rsid w:val="00553553"/>
    <w:rsid w:val="005742BC"/>
    <w:rsid w:val="005B64F9"/>
    <w:rsid w:val="005C66EA"/>
    <w:rsid w:val="005F23DE"/>
    <w:rsid w:val="006274C0"/>
    <w:rsid w:val="00630C28"/>
    <w:rsid w:val="0065629C"/>
    <w:rsid w:val="006624EC"/>
    <w:rsid w:val="006764CD"/>
    <w:rsid w:val="006857E4"/>
    <w:rsid w:val="006F289A"/>
    <w:rsid w:val="00740981"/>
    <w:rsid w:val="00741DA1"/>
    <w:rsid w:val="00746153"/>
    <w:rsid w:val="0078174D"/>
    <w:rsid w:val="00793044"/>
    <w:rsid w:val="007A762B"/>
    <w:rsid w:val="007D56C5"/>
    <w:rsid w:val="007D5D3C"/>
    <w:rsid w:val="007E4623"/>
    <w:rsid w:val="0080301F"/>
    <w:rsid w:val="00823917"/>
    <w:rsid w:val="00827B6B"/>
    <w:rsid w:val="0087392F"/>
    <w:rsid w:val="00880215"/>
    <w:rsid w:val="008832AE"/>
    <w:rsid w:val="00887620"/>
    <w:rsid w:val="008B1175"/>
    <w:rsid w:val="008B1329"/>
    <w:rsid w:val="008D58D0"/>
    <w:rsid w:val="008F56BE"/>
    <w:rsid w:val="00910785"/>
    <w:rsid w:val="00920587"/>
    <w:rsid w:val="009244A3"/>
    <w:rsid w:val="00925CAB"/>
    <w:rsid w:val="00967010"/>
    <w:rsid w:val="00971B0E"/>
    <w:rsid w:val="0097235D"/>
    <w:rsid w:val="00973789"/>
    <w:rsid w:val="00993A16"/>
    <w:rsid w:val="009A7275"/>
    <w:rsid w:val="009B501F"/>
    <w:rsid w:val="009F75F8"/>
    <w:rsid w:val="00A01E8B"/>
    <w:rsid w:val="00A0214C"/>
    <w:rsid w:val="00A1402F"/>
    <w:rsid w:val="00A17070"/>
    <w:rsid w:val="00A17517"/>
    <w:rsid w:val="00A224FD"/>
    <w:rsid w:val="00A33865"/>
    <w:rsid w:val="00A33B74"/>
    <w:rsid w:val="00A5752D"/>
    <w:rsid w:val="00A57945"/>
    <w:rsid w:val="00A97C25"/>
    <w:rsid w:val="00AC51FF"/>
    <w:rsid w:val="00AC612B"/>
    <w:rsid w:val="00AE6983"/>
    <w:rsid w:val="00AF6173"/>
    <w:rsid w:val="00B009D8"/>
    <w:rsid w:val="00B03F8D"/>
    <w:rsid w:val="00B06717"/>
    <w:rsid w:val="00B350F3"/>
    <w:rsid w:val="00B46A4E"/>
    <w:rsid w:val="00B5164E"/>
    <w:rsid w:val="00B56FB8"/>
    <w:rsid w:val="00B64FF6"/>
    <w:rsid w:val="00B70310"/>
    <w:rsid w:val="00B72B76"/>
    <w:rsid w:val="00BC4C25"/>
    <w:rsid w:val="00BE6F2B"/>
    <w:rsid w:val="00C11B8B"/>
    <w:rsid w:val="00C134B7"/>
    <w:rsid w:val="00C43A42"/>
    <w:rsid w:val="00C63478"/>
    <w:rsid w:val="00C67E00"/>
    <w:rsid w:val="00C70A33"/>
    <w:rsid w:val="00C779D9"/>
    <w:rsid w:val="00CA2E34"/>
    <w:rsid w:val="00CC28BB"/>
    <w:rsid w:val="00CD0F20"/>
    <w:rsid w:val="00CF34AC"/>
    <w:rsid w:val="00D03602"/>
    <w:rsid w:val="00D14717"/>
    <w:rsid w:val="00D233A4"/>
    <w:rsid w:val="00D85347"/>
    <w:rsid w:val="00D966D4"/>
    <w:rsid w:val="00D97A0D"/>
    <w:rsid w:val="00DD77F5"/>
    <w:rsid w:val="00DF6E7E"/>
    <w:rsid w:val="00E043B7"/>
    <w:rsid w:val="00E065D9"/>
    <w:rsid w:val="00E108F9"/>
    <w:rsid w:val="00E25382"/>
    <w:rsid w:val="00E3536E"/>
    <w:rsid w:val="00E36177"/>
    <w:rsid w:val="00ED0228"/>
    <w:rsid w:val="00ED0928"/>
    <w:rsid w:val="00EE22B9"/>
    <w:rsid w:val="00EE56EB"/>
    <w:rsid w:val="00EF5E9C"/>
    <w:rsid w:val="00F1219C"/>
    <w:rsid w:val="00F2516E"/>
    <w:rsid w:val="00F5033D"/>
    <w:rsid w:val="00F74393"/>
    <w:rsid w:val="00F84D6C"/>
    <w:rsid w:val="00FB0A56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3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503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E3C"/>
  </w:style>
  <w:style w:type="paragraph" w:styleId="Zpat">
    <w:name w:val="footer"/>
    <w:basedOn w:val="Normln"/>
    <w:link w:val="ZpatChar"/>
    <w:uiPriority w:val="99"/>
    <w:unhideWhenUsed/>
    <w:rsid w:val="003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3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503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E3C"/>
  </w:style>
  <w:style w:type="paragraph" w:styleId="Zpat">
    <w:name w:val="footer"/>
    <w:basedOn w:val="Normln"/>
    <w:link w:val="ZpatChar"/>
    <w:uiPriority w:val="99"/>
    <w:unhideWhenUsed/>
    <w:rsid w:val="003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946D-76F1-481B-A5DA-F1FA70D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ThePay.cz</dc:creator>
  <cp:lastModifiedBy>X</cp:lastModifiedBy>
  <cp:revision>2</cp:revision>
  <cp:lastPrinted>2016-06-28T13:39:00Z</cp:lastPrinted>
  <dcterms:created xsi:type="dcterms:W3CDTF">2017-01-17T13:11:00Z</dcterms:created>
  <dcterms:modified xsi:type="dcterms:W3CDTF">2017-01-17T13:11:00Z</dcterms:modified>
</cp:coreProperties>
</file>