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KVALITU ŠKOL PODPOŘÍ LEPŠÍ SPOLUPRÁCE KRAJE, MĚST A OBCÍ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Kraj Vysočina je v rámci České republiky charakteristický vysokým počtem obcí na svém území. Ačkoliv náš region patří počtem obyvatel mezi ty nejmenší, nachází se v něm 704 obcí (více jich je již jen ve Středočeském kraji). Výskyt vysokého počtu menších obcí souvisí velice úzce se vzdělávací soustavou. Jednotlivé školy a školská zařízení jsou rozmístěné po celém území kraje včetně odlehlejších lokalit. Pro obyvatele těchto menších obcí je to výhodné z hlediska dostupnosti míst poskytování vzdělávání a školských služeb. Na druhou stranu může být v těchto lokalitách problém sehnat kvalifikované a aprobované učitele či zajistit kvalitní poskytování souvisejících služeb (např. IT řešení). Navíc jsou ředitelé těchto škol přehlceni administrativou, kterou musí zvládat sami a která nabývá podobných rozměrů jako tomu je u větších škol.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Ke zvýšení kvality vzdělávání při současném zachování jeho dostupnosti může přispět vytvoření tzv. středního článku. Zjednodušeně řečeno, veřejné střední a vyšší odborné školy jsou obvykle zřizovány krajem a základní a mateřské školy obcemi. Samostatné zřizovatele mají školy soukromé a církevní. Na vzdělávací soustavu je nutné nahlížet komplexně a odmítnout argument, že odpovědnost za základní školy nesou výhradně obce, za střední školy zodpovídá jen kraj a školy jiných zřizovatelů stojí mimo zájem pozornosti. Kvalita a dostupnost vzdělávání musí být společným zájmem kraje, měst a obcí, jelikož to výrazným způsobem pomáhá rozvoji celého regionu.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Při diskuzích s jihlavským radním pro oblast školství, kultury a tělovýchovy Danielem Škarkou vzešla myšlenka na vytvoření uskupení sdružujícího školy v regionu a zajišťujícího jejich spolupráci, možnou výměnu zkušeností, metodickou podporu a navázání dialogu mezi jednotlivými zřizovateli škol. Pro efektivní činnost tohoto uskupení, fungujícího jako střední článek ve vzdělávání, by byla její působnost lokalizována na území obce s rozšířenou působností. </w:t>
      </w:r>
      <w:r w:rsidDel="00000000" w:rsidR="00000000" w:rsidRPr="00000000">
        <w:rPr>
          <w:rtl w:val="0"/>
        </w:rPr>
        <w:t xml:space="preserve">Vznik tohoto subjektu by nepředstavoval žádnou výraznou finanční zátěž pro jednotlivé školy, </w:t>
      </w:r>
      <w:r w:rsidDel="00000000" w:rsidR="00000000" w:rsidRPr="00000000">
        <w:rPr>
          <w:rtl w:val="0"/>
        </w:rPr>
        <w:t xml:space="preserve">jeho založení by aktivně podpořili jejich zřizovatelé. Školám by mimo jiné vzniklý subjekt umožnil sdílení materiálních a personálních kapacit v regionu. Vhodně nastavená spolupráce škol povede k řešení některých výrazných současných problémů vzdělávacího systému jako jsou předčasné odchody ze vzdělávání či závislost výsledků vzdělávání na socioekonomickém statutu žáka.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Navržené řešení je navíc v souladu s často zmiňovaným strategickým dokumentem Hlavní směry vzdělávací politiky ČR do roku 2030+. Ten připravila expertní skupina pod hlavičkou Ministerstva školství, mládeže a tělovýchovy ČR. Tato strategie identifikuje současné problémy českého vzdělávacího systému a představuje konkrétní kroky k jejich nápravě. Jednou ze strategických linií představených v dokumentu je koncentrace odborných kapacit v územích (vznik středního článku). Nutno podotknout, že navržené opatření přispěje k řešení více záměrů přijímané strategie. Zajistí podporu učitelů a ředitelů a dalších pracovníků ve vzdělávání či zvýší odborné kapacity, důvěru a vzájemnou spolupráci.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