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z7vin72i2tud" w:id="0"/>
      <w:bookmarkEnd w:id="0"/>
      <w:r w:rsidDel="00000000" w:rsidR="00000000" w:rsidRPr="00000000">
        <w:rPr>
          <w:rtl w:val="0"/>
        </w:rPr>
        <w:t xml:space="preserve">Daně v klidu a jednoduše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bk6im6bij5x4" w:id="1"/>
      <w:bookmarkEnd w:id="1"/>
      <w:r w:rsidDel="00000000" w:rsidR="00000000" w:rsidRPr="00000000">
        <w:rPr>
          <w:rtl w:val="0"/>
        </w:rPr>
        <w:t xml:space="preserve">Vzorový bod pro zpracování návrhu bodu do volebního programu dle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Tezí k přípravě programu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3855"/>
        <w:gridCol w:w="3600"/>
        <w:tblGridChange w:id="0">
          <w:tblGrid>
            <w:gridCol w:w="1485"/>
            <w:gridCol w:w="3855"/>
            <w:gridCol w:w="360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Položka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Obsah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Pokyny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Kód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JIM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Ideálně jedno nebo dvě slova ke krátkému neformálnímu označení tématu.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Max. délka: 20 zn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Interní název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Jednotné inkasní místo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Jak tomu obvykle interně říkáme, aby to bylo všem srozumitelné.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Max. délka: 46 zn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Nadpis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Daně v klidu a jednoduše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Veřejný název - navrhují markeťáci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Max. délka: 46 zn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Anotace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color w:val="ff0000"/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Místo 3 různých daní a odvodů z příjmu zavedeme jeden formulář online a jednu platbu. U</w:t>
            </w:r>
            <w:r w:rsidDel="00000000" w:rsidR="00000000" w:rsidRPr="00000000">
              <w:rPr>
                <w:rtl w:val="0"/>
              </w:rPr>
              <w:t xml:space="preserve">šetříme 4 miliardy </w:t>
            </w:r>
            <w:r w:rsidDel="00000000" w:rsidR="00000000" w:rsidRPr="00000000">
              <w:rPr>
                <w:rtl w:val="0"/>
              </w:rPr>
              <w:t xml:space="preserve">ročně</w:t>
            </w:r>
            <w:r w:rsidDel="00000000" w:rsidR="00000000" w:rsidRPr="00000000">
              <w:rPr>
                <w:rtl w:val="0"/>
              </w:rPr>
              <w:t xml:space="preserve"> a lidem spoustu času a nervů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Text anotace by měl jasně prezentovat přínos a být dostatečně konkrétní, a to i když konkrétní parametr může být předmětem podrobnějších analýz a diskuse. Tato část bodu společně s veřejným názvem je schvalována republikovým výborem jako závazný program do voleb.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Max. délka: 140 zn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Problém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Daně a odvody vybírají 3 různé úřady. Podnikatel musí vyplnit tři různé formuláře. Ročně to vyplňuje přes </w:t>
            </w:r>
            <w:r w:rsidDel="00000000" w:rsidR="00000000" w:rsidRPr="00000000">
              <w:rPr>
                <w:rtl w:val="0"/>
              </w:rPr>
              <w:t xml:space="preserve"> milion lidí</w:t>
            </w:r>
            <w:r w:rsidDel="00000000" w:rsidR="00000000" w:rsidRPr="00000000">
              <w:rPr>
                <w:rtl w:val="0"/>
              </w:rPr>
              <w:t xml:space="preserve">. Prostě celostátní blázinec! Celkem to zaměstnává </w:t>
            </w:r>
            <w:r w:rsidDel="00000000" w:rsidR="00000000" w:rsidRPr="00000000">
              <w:rPr>
                <w:rtl w:val="0"/>
              </w:rPr>
              <w:t xml:space="preserve">24 tisíc úředníků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[3]</w:t>
            </w:r>
            <w:r w:rsidDel="00000000" w:rsidR="00000000" w:rsidRPr="00000000">
              <w:rPr>
                <w:rtl w:val="0"/>
              </w:rPr>
              <w:t xml:space="preserve"> Česko je na chvostu EU ve výkonnosti veřejné správy.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[4]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Stručné vystižení podstaty problému ve vztahu k celé společnosti a klíčové cílové skupině. Může jít o budoucí hrozbu, náklady na odkládání či dosud nevyužitou příležitost.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Max. délka: 280 zn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Ideál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Převedeme výběr daní a odvodů na pojistné na finanční úřady. Bude jeden formulář online. </w:t>
            </w:r>
            <w:r w:rsidDel="00000000" w:rsidR="00000000" w:rsidRPr="00000000">
              <w:rPr>
                <w:rtl w:val="0"/>
              </w:rPr>
              <w:t xml:space="preserve">Ušetříme tak 2800 </w:t>
            </w:r>
            <w:r w:rsidDel="00000000" w:rsidR="00000000" w:rsidRPr="00000000">
              <w:rPr>
                <w:rtl w:val="0"/>
              </w:rPr>
              <w:t xml:space="preserve">úředníků</w:t>
            </w:r>
            <w:r w:rsidDel="00000000" w:rsidR="00000000" w:rsidRPr="00000000">
              <w:rPr>
                <w:rtl w:val="0"/>
              </w:rPr>
              <w:t xml:space="preserve"> a nejméně 4 miliardy korun ročně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[3]</w:t>
            </w:r>
            <w:r w:rsidDel="00000000" w:rsidR="00000000" w:rsidRPr="00000000">
              <w:rPr>
                <w:rtl w:val="0"/>
              </w:rPr>
              <w:t xml:space="preserve"> Víme, jak změnu provést efektivně, aby se neopakovalo fiasko, když se o to pokoušela vláda v roce 2011.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[2]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Max. délka: 280 zn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Ilustrační obrázky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BUDOU DOPLNĚNY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Benefity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Max. délka: 140 zn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Živnostníci: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Díky jednotnému inkasnímu místu zrušíme živnostníkům povinnost vyplňovat formulář a platit pro ČSSZ a zdravotní pojišťovnu.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Max. délka: 140 zn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Firma: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Průměrně velká firma ušetří díky jednotnému inkasnímu místu desítky</w:t>
            </w:r>
            <w:r w:rsidDel="00000000" w:rsidR="00000000" w:rsidRPr="00000000">
              <w:rPr>
                <w:rtl w:val="0"/>
              </w:rPr>
              <w:t xml:space="preserve"> hodin</w:t>
            </w:r>
            <w:r w:rsidDel="00000000" w:rsidR="00000000" w:rsidRPr="00000000">
              <w:rPr>
                <w:rtl w:val="0"/>
              </w:rPr>
              <w:t xml:space="preserve"> na administrativě daní a odvodů.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[3]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Max. délka: 140 zn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Veřejné finance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Díky jednotnému inkasnímu místu snížíme náklady</w:t>
            </w:r>
            <w:r w:rsidDel="00000000" w:rsidR="00000000" w:rsidRPr="00000000">
              <w:rPr>
                <w:rtl w:val="0"/>
              </w:rPr>
              <w:t xml:space="preserve"> nejméně o 4 miliardy</w:t>
            </w:r>
            <w:r w:rsidDel="00000000" w:rsidR="00000000" w:rsidRPr="00000000">
              <w:rPr>
                <w:rtl w:val="0"/>
              </w:rPr>
              <w:t xml:space="preserve"> korun ročně.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Rozpracuje tým finance. Úkolem finančního týmu není zpracovat to, ale dát k tomu metodiku a metodickou pomoc. V případě žádosti o pomoc se obracejte prosím na finančního analytika poslaneckého klubu Tomáše Kopečného.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Max. délka: 140 zn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 jsme už udělali: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 jednání kontrolního výboru sněmovny náš poslanec Tomáš Martínek zpravodajoval kontrolní závěr NKÚ 15/17. Analyzoval průběh projektu JIM mezi roky 2008 a 2016, identifikoval příčiny neúspěchu projektu, zhodnotil efektivitu a hospodárnost vynaložených prostředků a prosadil usnesení zavazující Ministerstvo financí, aby představilo nový systém.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[4,5]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Při každém projednávání připravovaného portálu MOJE Daně na plénu Poslanecké sněmovny i ve výborech a podvýborech (především v podvýboru pro e-government) požadujeme po předkládajících zástupcích Ministerstva financí větší spolupráci s Ministerstvem zdravotnictví a Ministerstvem práce a sociálních věcí, aby výsledný portál plnil z pohledu občana cíle dříve plánovaného jednotného inkasního místa.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Aktivně jsme se podíleli na přípravě a schválení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kompromisního návrhu novely zákona MOJE Daně</w:t>
              </w:r>
            </w:hyperlink>
            <w:r w:rsidDel="00000000" w:rsidR="00000000" w:rsidRPr="00000000">
              <w:rPr>
                <w:rtl w:val="0"/>
              </w:rPr>
              <w:t xml:space="preserve"> (ST 841).</w:t>
            </w:r>
            <w:r w:rsidDel="00000000" w:rsidR="00000000" w:rsidRPr="00000000">
              <w:rPr>
                <w:rtl w:val="0"/>
              </w:rPr>
              <w:t xml:space="preserve"> Prosadili jsme do něj i náš návrh na prodloužení lhůty pro podání daňového přiznání elektronicky o měsíc jako pozitivní motivaci pro využívání elektronické komunikace s veřejnou správou.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Piráti na grémiu sněmovny prosadili, aby se návrh MOJE Daně projednal urychleně.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Při jednání o změně rozpočtu v roce 2020 jsme apelovali na ministryni financí Alenou Schillerovou, že MFČR zpracuje analýzu možností zavedení jednotného inkasního místa.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Max. délka: 1800 zn (odkazy na MPV)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Navrhovaná opatření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Záměr bude připravován po schválení nových pravidel pro přípravu velkých IT zakázek státu a pravidel pro řízení velkých vládních projektů a vyškolení potřebného personálu.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Připravíme podrobný</w:t>
            </w:r>
            <w:r w:rsidDel="00000000" w:rsidR="00000000" w:rsidRPr="00000000">
              <w:rPr>
                <w:rtl w:val="0"/>
              </w:rPr>
              <w:t xml:space="preserve"> projektový záměr s odborníky z Estonska a Světové banky, která již dříve nabízela ČR svou pomoc v této věci a vydala k tomu studii.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[6]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Součástí projektového záměru bude studie, která vyhodnotí, kolik se ušetřilo a ověří, zda se v prvních letech po zavedení zvýšilo inkaso oproti náhodnému kontrolnímu vzorku.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Cílem projektu je propojení informačních systémů finanční správy, ČSSZ, zdravotních pojišťoven a případně dalších systémů veřejné správy, aby se procesy automatizovaly, činnosti neduplikovaly a zlepšil se komfort občanů České republiky.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Každému člověku se pak jako v internetovém bankovnictví zobrazí na portálu občana, kolik odvedl, na co peníze jdou a na co má nárok.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after="0" w:afterAutospacing="0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Změníme zákon o daních z příjmu a zákony o pojistném na zdravotní a sociální zabezpečení, aby se všechny platby počítaly ze stejného základu, platily a vymáhaly na jednom místě, ideálně online u finanční správy.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after="0" w:afterAutospacing="0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Absolutní výše peněz do resortů zůstane stejná.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Ministr financí aplikaci na portálu veřejné správy před ostrým nasazením osobně vyzkouší.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Konkrétní (!) body specifikující náš postup v chronologickém pořadí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Max. délka: 1800 zn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Časový horizont realizace: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roky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Doba, po které se projekt převede do standardního procesního řízení a lze vyhodnotit přinášený efekt. Jde pouze o realizační fázi, nikoliv celý životní cyklus.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FAQ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Kolik to bude stát?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Sloučení výběru daní z příjmů fyzických osob a pojistného je největším IT projektem  v historii ČR. Náklady budou v jednotkách miliard korun, přesnější odhad nákladů budeme mít po zpracování projektu a následné soutěži o veřejnou zakázku. V roce 2011 byly náklady odhadnuty na 2,9 miliardy,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[3] </w:t>
            </w:r>
            <w:r w:rsidDel="00000000" w:rsidR="00000000" w:rsidRPr="00000000">
              <w:rPr>
                <w:rtl w:val="0"/>
              </w:rPr>
              <w:t xml:space="preserve"> s přihlédnutím k inflaci by to dnes byly 4 miliardy, nicméně řada částí projektu byla již realizována. Díky úsporám se tato částka během několika prvních let vrátí.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Nehrozí, že to zase skončí fiaskem jako v roce 2011?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 zprávy NKÚ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[3]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vyplývá, že projekt byl neúspěšný kvůli špatné implementaci, protože se jeho projektový výbor řádně nescházel a postup projektu správně neřídil, takže peníze byly utraceny za činnosti nesouvisející s JIM. Proto budeme projekt realizovat po schválení pravidel pro řízení vládních projektů a do projektového výboru jmenujeme kompetentní odborníky - viz metodika pro výběr důvěryhodných osob do odborných funkcí.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 tento model vyzkoušen v jiných evropských státech?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Ve studii Parlamentního institutu se uvádí, že jednotné inkasní místo funguje třeba v Estonsku a Velké Británii, kde podíl elektronicky podaných daňových přiznání u daní z příjmu je přes 95 %, zatímco v ČR je to pouhých 25 %.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[1]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Kolik peněz se díky zjednodušení výběru vybere navíc?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  <w:t xml:space="preserve">Primárním cílem sjednocení výběru pojistného a daně z příjmů není omezení daňových úniků. Lze nicméně očekávat, že snížení administrativních nákladů na placení daní drobně zvýší ochotu lidí daně platit.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Vždy by měla být odpověď na dotaz k nákladům.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Max. délka: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Související body: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Nová pravidla pro IT zakázky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Řízení velkých projektů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Metodika pro výběr důvěryhodných osob do odborných funkcí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Zdroje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Parlamentní institut. Jednotné inkasní místo. Odpověď na dotaz č. 3310. Dostupný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zde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Kontrolní závěr NKÚ z kontrolní akce </w:t>
            </w:r>
            <w:r w:rsidDel="00000000" w:rsidR="00000000" w:rsidRPr="00000000">
              <w:rPr>
                <w:rtl w:val="0"/>
              </w:rPr>
              <w:t xml:space="preserve">č. 15/17 </w:t>
            </w:r>
            <w:r w:rsidDel="00000000" w:rsidR="00000000" w:rsidRPr="00000000">
              <w:rPr>
                <w:rtl w:val="0"/>
              </w:rPr>
              <w:t xml:space="preserve">zaměřené na Projekt vytvoření Jednotného inkasního místa [online]. NKÚ Government [cit. 2018-04-14]. Dostupné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online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Analytický tým Pirátů: Analýza odhadující dopady novely zákonů související se zavedením jednotného inkasního místa.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Výroční zpráva NKÚ za rok 2019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Zápis z kontrolního výboru konaného dne 10. 1. 2019. Dostupný na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webu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Studie světové banky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Naše vlastní údaje (odhady), které nevycházejí přímo z renomovaného zdroje, dokládáme vlastními analýzami na dané téma, které jsou v seznamu zdrojů a měly by procházet externí oponenturou.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Délky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TT - třetinka tweetu (46 znaků)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xxxxxxxxxxxxxxxxxxxxxxxxxxxxxxxxxxxxxxxxxxxxxx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MT - malý tweet (140 znaků)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VT - velký tweet (280 znaků)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/>
        <w:drawing>
          <wp:inline distB="114300" distT="114300" distL="114300" distR="114300">
            <wp:extent cx="3438682" cy="31289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8682" cy="3128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/>
        <w:drawing>
          <wp:inline distB="114300" distT="114300" distL="114300" distR="114300">
            <wp:extent cx="1922217" cy="25098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2217" cy="2509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4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[%1]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 Condensed" w:cs="Roboto Condensed" w:eastAsia="Roboto Condensed" w:hAnsi="Roboto Condensed"/>
        <w:sz w:val="22"/>
        <w:szCs w:val="22"/>
        <w:lang w:val="cs"/>
      </w:rPr>
    </w:rPrDefault>
    <w:pPrDefault>
      <w:pPr>
        <w:spacing w:after="1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480" w:before="480" w:lineRule="auto"/>
      <w:jc w:val="center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200" w:lineRule="auto"/>
      <w:jc w:val="center"/>
    </w:pPr>
    <w:rPr>
      <w:color w:val="666666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sp.cz/sqw/text/orig2.sqw?idd=156197&amp;pdf=1" TargetMode="External"/><Relationship Id="rId10" Type="http://schemas.openxmlformats.org/officeDocument/2006/relationships/hyperlink" Target="https://www.nku.cz/cz/publikace-a-dokumenty/vyrocni-zprava/vyrocni-zprava-nku-za-rok-2019-id11133/" TargetMode="External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ku.cz/assets/kon-%20zavery/K15017.pdf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LujDnu7eFmmC_tcjwVHsh5DKRNue3Tl_Qvw58z8ZfkE/edit" TargetMode="External"/><Relationship Id="rId7" Type="http://schemas.openxmlformats.org/officeDocument/2006/relationships/hyperlink" Target="https://www.psp.cz/sqw/historie.sqw?o=8&amp;T=841" TargetMode="External"/><Relationship Id="rId8" Type="http://schemas.openxmlformats.org/officeDocument/2006/relationships/hyperlink" Target="https://drive.google.com/file/d/1pdkWPl5AfhC3QFsDDE4B0Z0XnfEXtwOr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