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PARLAMENT ČESKÉ REPUBLIKY</w:t>
      </w:r>
    </w:p>
    <w:p w14:paraId="00000002" w14:textId="77777777" w:rsidR="00D035D6" w:rsidRDefault="008759C2">
      <w:pPr>
        <w:spacing w:before="240" w:after="24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Poslanecká sněmovna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14:paraId="00000003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2020</w:t>
      </w:r>
    </w:p>
    <w:p w14:paraId="00000004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VIII. volební období</w:t>
      </w:r>
    </w:p>
    <w:p w14:paraId="00000005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00000006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7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8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9" w14:textId="77777777" w:rsidR="00D035D6" w:rsidRDefault="008759C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A" w14:textId="7445AEBA" w:rsidR="00D035D6" w:rsidRDefault="008759C2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Poslanecký návrh zákona, který se mění zákon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č. 134/2016 Sb., o zadávání veřejných zakázek, ve znění pozdějších předpisů a zákon č. 97/1993 Sb., o působnosti Správy státních hmotných rezerv, ve znění pozdějších předpisů</w:t>
      </w:r>
    </w:p>
    <w:p w14:paraId="0000000B" w14:textId="77777777" w:rsidR="00D035D6" w:rsidRDefault="008759C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C" w14:textId="77777777" w:rsidR="00D035D6" w:rsidRDefault="008759C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D" w14:textId="77777777" w:rsidR="00D035D6" w:rsidRDefault="008759C2">
      <w:pPr>
        <w:spacing w:before="240" w:after="24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0E" w14:textId="77777777" w:rsidR="00D035D6" w:rsidRDefault="00D035D6">
      <w:pPr>
        <w:spacing w:before="240" w:after="24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F" w14:textId="77777777" w:rsidR="00D035D6" w:rsidRDefault="00D035D6">
      <w:pPr>
        <w:spacing w:before="240" w:after="24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0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b/>
        </w:rPr>
      </w:pPr>
    </w:p>
    <w:p w14:paraId="00000011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</w:rPr>
        <w:t>Předkladatel:</w:t>
      </w:r>
      <w:r>
        <w:br w:type="page"/>
      </w:r>
    </w:p>
    <w:p w14:paraId="00000012" w14:textId="77777777" w:rsidR="00D035D6" w:rsidRDefault="008759C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Parlament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usnesl na tomto zákoně České republiky:</w:t>
      </w:r>
    </w:p>
    <w:p w14:paraId="00000013" w14:textId="77777777" w:rsidR="00D035D6" w:rsidRDefault="00D035D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D035D6" w:rsidRDefault="008759C2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0000015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Zákon č. 134/2016 Sb., o zadávání veřejných zakázek, ve znění pozdějších předpisů se mění takto:</w:t>
      </w:r>
    </w:p>
    <w:p w14:paraId="00000016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9 odst. 4 se slova ‘jsou povinni nejpozději do okamžiku zadání veřejné zakázky’ nahrazují slovem ‘mohou’.</w:t>
      </w:r>
    </w:p>
    <w:p w14:paraId="00000017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035D6" w:rsidRDefault="008759C2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00000019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Zákon č. 97/1993 Sb., o působnosti Správy státních hmotných rezerv, ve znění pozdějších předpisů se mění takto:</w:t>
      </w:r>
    </w:p>
    <w:p w14:paraId="0000001A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§ 4c se vkládá nový § 4d, který zní:</w:t>
      </w:r>
    </w:p>
    <w:p w14:paraId="0000001B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“§ 4d</w:t>
      </w:r>
    </w:p>
    <w:p w14:paraId="0000001C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Není-li vyhlášen krizový stav, o způsobech, podmínkách a rozsahu využití státních hmotných rezerv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 souvislosti s ochranou veřejného zdraví rozhoduje vláda na základě žádosti Ministerstva zdravotnictví a po vyjádření předsedy Správy. Ustanovení § 14 odst. 7, § 19 odst. 1, § 19b, 19c, 21 až 23 a 27 zákona o majetku České republiky a jejím vystupování v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právních vztazích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1b)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nepoužijí.”</w:t>
      </w:r>
    </w:p>
    <w:p w14:paraId="0000001D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Odůvodnění:</w:t>
      </w:r>
    </w:p>
    <w:p w14:paraId="00000020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Čl. I</w:t>
      </w:r>
    </w:p>
    <w:p w14:paraId="00000021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Dnes není možné, aby byl po dobu účinnosti centrální rámcové dohody okruh účastnících se zadavatelů rozšiřován, neboť všichni zadavatelé musí předem společně uzavřít písemnou smlouvu, ke které nesm</w:t>
      </w:r>
      <w:r>
        <w:rPr>
          <w:rFonts w:ascii="Times New Roman" w:eastAsia="Times New Roman" w:hAnsi="Times New Roman" w:cs="Times New Roman"/>
          <w:sz w:val="24"/>
          <w:szCs w:val="24"/>
        </w:rPr>
        <w:t>í později nikdo přistoupit. Tato podmínka by měla být zrušena, aby např. i po uzavření rámcové dohody Jihomoravským krajem pro nemocniční zařízení mohly z rámcové dohody profitovat ty krajské nemocnice, které neuzavřely s krajem smlouvu před zadáním veřejn</w:t>
      </w:r>
      <w:r>
        <w:rPr>
          <w:rFonts w:ascii="Times New Roman" w:eastAsia="Times New Roman" w:hAnsi="Times New Roman" w:cs="Times New Roman"/>
          <w:sz w:val="24"/>
          <w:szCs w:val="24"/>
        </w:rPr>
        <w:t>é zakázky. Úprava by tak měla umožnit nakupovat zásoby pro předem vymezený okruh přidružených zadavatelů, byť s nimi nebyl centrální zadavatel do okamžiku zadání veřejné zakázky ve smluvním vztahu.</w:t>
      </w:r>
    </w:p>
    <w:p w14:paraId="00000022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Evropskou směrnicí požadované stanovení okruhu zadavatelů </w:t>
      </w:r>
      <w:r>
        <w:rPr>
          <w:rFonts w:ascii="Times New Roman" w:eastAsia="Times New Roman" w:hAnsi="Times New Roman" w:cs="Times New Roman"/>
          <w:sz w:val="24"/>
          <w:szCs w:val="24"/>
        </w:rPr>
        <w:t>předem už v zadávací dokumentaci by tímto zůstalo nedotčeno (viz § 9 odst. 3 ZZVZ). Evropské právo nepožaduje zasmluvnění centrálního zadavatele a ostatních zadavatelů před zadáním zakázky (pouze umožňuje vymezit si ve smlouvě poskytování dalších služeb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zadavatele, které jsou spojené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 zadáváním veřejných zakázek - zůstane zachováno), nýbrž požaduje pouze dostatečně zřejmé vymezení těchto ostatních zadavatelů předem, s čímž opuštění požadavku zasmluvnění není nijak v rozporu: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“Může se tak dít buď jejic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výčtem, tedy uvedením identifikačních údajů pověřujících zadavatelů, nebo uvedením informace, na jejímž základě mohou účastníci zadávacího řízení pověřující zadavatele identifikovat. Typicky si lze představit kombinaci určitého území (např. kraje), předm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ětu činnosti (např. poskytování zdravotních služeb) a právního postavení pověřujících zadavatelů (např. příspěvkové organizace kraje).”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14:paraId="00000023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Čl. II</w:t>
      </w:r>
    </w:p>
    <w:p w14:paraId="00000025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Nedostatek ochranných prostředků v době pandemie nemoci označovaného jako COVID-19 ukázal nezbytnost flexib</w:t>
      </w:r>
      <w:r>
        <w:rPr>
          <w:rFonts w:ascii="Times New Roman" w:eastAsia="Times New Roman" w:hAnsi="Times New Roman" w:cs="Times New Roman"/>
          <w:sz w:val="24"/>
          <w:szCs w:val="24"/>
        </w:rPr>
        <w:t>ilní centrální distribuce těchto prostředků, které byly v inkriminovaném období v České republice schopni v dostatečném množství zajistit pouze ústřední orgány státní správy. Flexibilní a efektivní distribuce byla zajištěna díky vyhlášení nouzového stavu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souvisejícímu využití nástrojů určených právě pro krizové stavy. Zároveň se ale ukázalo, že vládě chybí nástroj, kterým by flexibilní a efektivní distribuci zajistila i mimo trvání nouzového stavu, přičemž udržovat nouzový stav a související snadnou suspe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ndaci mnoha prvků právního státu nebylo a není dlouhodobě myslitelné, ačkoli stav vážného ohrožení veřejného zdraví např. infekční chorobou může dlouhodobě trvat. </w:t>
      </w:r>
    </w:p>
    <w:p w14:paraId="00000026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se proto, aby na žádost Ministerstva zdravotnictví a po vyjádření předsedy Státních hmotných rezerv mohla vláda rozhodnout o způsobech, podmínkách a rozsahu použití hmotných rezerv za účelem ochrany veřejného zdraví. Vládě je tak svěřen rozsáhlý p</w:t>
      </w:r>
      <w:r>
        <w:rPr>
          <w:rFonts w:ascii="Times New Roman" w:eastAsia="Times New Roman" w:hAnsi="Times New Roman" w:cs="Times New Roman"/>
          <w:sz w:val="24"/>
          <w:szCs w:val="24"/>
        </w:rPr>
        <w:t>rostor pro flexibilní využívání státních hmotných rezerv za účelem ochrany veřejného zdraví prakticky kdykoli, kdy bude třeba. Jsou proto suspendována ustanovení upravující správu státního majetku v zákoně č. 219/2000 Sb., o majetku České republiky a jejím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vystupování v právních vztazích, ve znění pozdějších předpisů. Vláda by tedy např. mohla rozhodnout o bezplatném poskytnutí ústenek ve státních hmotných rezervách konkrétnímu kraji nebo obci, kde se nákaza významně rozšířila, nebo dokonce rozhodnout o zah</w:t>
      </w:r>
      <w:r>
        <w:rPr>
          <w:rFonts w:ascii="Times New Roman" w:eastAsia="Times New Roman" w:hAnsi="Times New Roman" w:cs="Times New Roman"/>
          <w:sz w:val="24"/>
          <w:szCs w:val="24"/>
        </w:rPr>
        <w:t>ájení distribuce ochranných pomůcek za stejného režimu, který probíhal za trvání nouzového stavu v březnu, dubnu a květnu. Vláda také může předem stanovit, že poskytnuté hmotné rezervy musí ten, komu byly poskytnuty, následně nahradit či vrátit. Nouzové zá</w:t>
      </w:r>
      <w:r>
        <w:rPr>
          <w:rFonts w:ascii="Times New Roman" w:eastAsia="Times New Roman" w:hAnsi="Times New Roman" w:cs="Times New Roman"/>
          <w:sz w:val="24"/>
          <w:szCs w:val="24"/>
        </w:rPr>
        <w:t>sobování by tedy mohlo probíhat, i když nebude vyhlášen nouzový stav, ale bude trvat ohrožení veřejného zdraví.</w:t>
      </w:r>
    </w:p>
    <w:p w14:paraId="00000027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29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Znění s vyznačenými změnami:</w:t>
      </w:r>
    </w:p>
    <w:p w14:paraId="0000002A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Zákon č. 134/2016 Sb., o zadávání veřejných zakázek, ve znění pozdějších předpisů</w:t>
      </w:r>
    </w:p>
    <w:p w14:paraId="0000002B" w14:textId="77777777" w:rsidR="00D035D6" w:rsidRDefault="008759C2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Centrální zadavatel a zada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vatel, pro něhož má být centralizované zadávání provedeno, </w:t>
      </w:r>
      <w:r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jsou povinni nejpozději do okamžiku zadání veřejné zakázky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mohou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uzavřít písemnou smlouvu, v níž upraví svá vzájemná práva a povinnosti v souvislosti s centralizovaným zadáváním; tím není dotčen §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132 odst. 2. Tato smlouva může zahrnovat i další služby poskytované centrálním zadavatelem spojené se zadáváním veřejných zak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ázek.</w:t>
      </w:r>
    </w:p>
    <w:p w14:paraId="0000002C" w14:textId="77777777" w:rsidR="00D035D6" w:rsidRDefault="00D035D6">
      <w:pPr>
        <w:rPr>
          <w:rFonts w:ascii="Times New Roman" w:eastAsia="Times New Roman" w:hAnsi="Times New Roman" w:cs="Times New Roman"/>
          <w:b/>
        </w:rPr>
      </w:pPr>
    </w:p>
    <w:p w14:paraId="0000002D" w14:textId="77777777" w:rsidR="00D035D6" w:rsidRDefault="00D035D6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Zákon č. 97/1993 Sb., o působnosti Správy státních hmotných rezerv, ve znění pozdějších předpisů:</w:t>
      </w:r>
    </w:p>
    <w:p w14:paraId="0000002F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§ 4d</w:t>
      </w:r>
    </w:p>
    <w:p w14:paraId="00000030" w14:textId="77777777" w:rsidR="00D035D6" w:rsidRDefault="008759C2">
      <w:pPr>
        <w:spacing w:after="2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Není-li vyhlášen krizový stav, o způsobech, podmínkách a rozsahu využití státních hmotných rezerv v souvislosti s ochranou veřejného zdraví rozhoduje vláda na základě žádosti Ministerstva zdravotnictví a po vyjádření předsedy Správy. Ustanovení § 14 odst.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7, § 19 odst. 1, § 19b, 19c, 21 až 23 a 27 zákona o majetku České republiky a jejím vystupování v právních vztazích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1b)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 nepoužijí.</w:t>
      </w:r>
    </w:p>
    <w:sectPr w:rsidR="00D035D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C60B" w14:textId="77777777" w:rsidR="008759C2" w:rsidRDefault="008759C2">
      <w:pPr>
        <w:spacing w:line="240" w:lineRule="auto"/>
      </w:pPr>
      <w:r>
        <w:separator/>
      </w:r>
    </w:p>
  </w:endnote>
  <w:endnote w:type="continuationSeparator" w:id="0">
    <w:p w14:paraId="763AC5ED" w14:textId="77777777" w:rsidR="008759C2" w:rsidRDefault="00875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CE47" w14:textId="77777777" w:rsidR="008759C2" w:rsidRDefault="008759C2">
      <w:pPr>
        <w:spacing w:line="240" w:lineRule="auto"/>
      </w:pPr>
      <w:r>
        <w:separator/>
      </w:r>
    </w:p>
  </w:footnote>
  <w:footnote w:type="continuationSeparator" w:id="0">
    <w:p w14:paraId="0A5BEEA8" w14:textId="77777777" w:rsidR="008759C2" w:rsidRDefault="008759C2">
      <w:pPr>
        <w:spacing w:line="240" w:lineRule="auto"/>
      </w:pPr>
      <w:r>
        <w:continuationSeparator/>
      </w:r>
    </w:p>
  </w:footnote>
  <w:footnote w:id="1">
    <w:p w14:paraId="00000031" w14:textId="77777777" w:rsidR="00D035D6" w:rsidRDefault="008759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Podešva, V. a kol. Zákon o zadávání veřejných zakázek: Komentář. Nové ASPI online. [cit. 2020-07-09].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D6"/>
    <w:rsid w:val="00393953"/>
    <w:rsid w:val="008759C2"/>
    <w:rsid w:val="00932CA4"/>
    <w:rsid w:val="00D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A4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9395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953"/>
  </w:style>
  <w:style w:type="paragraph" w:styleId="Zpat">
    <w:name w:val="footer"/>
    <w:basedOn w:val="Normln"/>
    <w:link w:val="ZpatChar"/>
    <w:uiPriority w:val="99"/>
    <w:unhideWhenUsed/>
    <w:rsid w:val="0039395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4981</Characters>
  <Application>Microsoft Office Word</Application>
  <DocSecurity>0</DocSecurity>
  <Lines>90</Lines>
  <Paragraphs>35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2020-07-09T08:56:00Z</dcterms:created>
  <dcterms:modified xsi:type="dcterms:W3CDTF">2020-07-09T08:57:00Z</dcterms:modified>
</cp:coreProperties>
</file>