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CBCD" w14:textId="7EF3C9A3" w:rsidR="00E02007" w:rsidRDefault="00E02007" w:rsidP="00E02007">
      <w:pPr>
        <w:jc w:val="right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1</w:t>
      </w:r>
      <w:r w:rsidR="00834E9C">
        <w:rPr>
          <w:rFonts w:cstheme="minorHAnsi"/>
          <w:color w:val="000000" w:themeColor="text1"/>
          <w:lang w:val="cs-CZ"/>
        </w:rPr>
        <w:t>7</w:t>
      </w:r>
      <w:r>
        <w:rPr>
          <w:rFonts w:cstheme="minorHAnsi"/>
          <w:color w:val="000000" w:themeColor="text1"/>
          <w:lang w:val="cs-CZ"/>
        </w:rPr>
        <w:t>. 1. 2019</w:t>
      </w:r>
    </w:p>
    <w:p w14:paraId="08154547" w14:textId="77777777" w:rsidR="00834E9C" w:rsidRDefault="00834E9C" w:rsidP="00796C60">
      <w:pPr>
        <w:rPr>
          <w:rFonts w:cstheme="minorHAnsi"/>
          <w:b/>
          <w:color w:val="000000" w:themeColor="text1"/>
          <w:lang w:val="cs-CZ"/>
        </w:rPr>
      </w:pPr>
    </w:p>
    <w:p w14:paraId="2261F652" w14:textId="233374D1" w:rsidR="00834E9C" w:rsidRDefault="00834E9C" w:rsidP="00796C60">
      <w:pPr>
        <w:rPr>
          <w:rFonts w:cstheme="minorHAnsi"/>
          <w:b/>
          <w:color w:val="000000" w:themeColor="text1"/>
          <w:lang w:val="cs-CZ"/>
        </w:rPr>
      </w:pPr>
      <w:r>
        <w:rPr>
          <w:rFonts w:cstheme="minorHAnsi"/>
          <w:b/>
          <w:color w:val="000000" w:themeColor="text1"/>
          <w:lang w:val="cs-CZ"/>
        </w:rPr>
        <w:t>Volební výbor předkládá RV n</w:t>
      </w:r>
      <w:r w:rsidR="00796C60" w:rsidRPr="00796C60">
        <w:rPr>
          <w:rFonts w:cstheme="minorHAnsi"/>
          <w:b/>
          <w:color w:val="000000" w:themeColor="text1"/>
          <w:lang w:val="cs-CZ"/>
        </w:rPr>
        <w:t>á</w:t>
      </w:r>
      <w:r w:rsidR="00796C60">
        <w:rPr>
          <w:rFonts w:cstheme="minorHAnsi"/>
          <w:b/>
          <w:color w:val="000000" w:themeColor="text1"/>
          <w:lang w:val="cs-CZ"/>
        </w:rPr>
        <w:t xml:space="preserve">vrh rozpočtu pro </w:t>
      </w:r>
      <w:r w:rsidR="00E02007">
        <w:rPr>
          <w:rFonts w:cstheme="minorHAnsi"/>
          <w:b/>
          <w:color w:val="000000" w:themeColor="text1"/>
          <w:lang w:val="cs-CZ"/>
        </w:rPr>
        <w:t xml:space="preserve">kampaň k volbám </w:t>
      </w:r>
      <w:r w:rsidR="00796C60">
        <w:rPr>
          <w:rFonts w:cstheme="minorHAnsi"/>
          <w:b/>
          <w:color w:val="000000" w:themeColor="text1"/>
          <w:lang w:val="cs-CZ"/>
        </w:rPr>
        <w:t xml:space="preserve">do </w:t>
      </w:r>
      <w:r w:rsidR="00E02007">
        <w:rPr>
          <w:rFonts w:cstheme="minorHAnsi"/>
          <w:b/>
          <w:color w:val="000000" w:themeColor="text1"/>
          <w:lang w:val="cs-CZ"/>
        </w:rPr>
        <w:t xml:space="preserve">EP </w:t>
      </w:r>
      <w:r w:rsidR="00796C60">
        <w:rPr>
          <w:rFonts w:cstheme="minorHAnsi"/>
          <w:b/>
          <w:color w:val="000000" w:themeColor="text1"/>
          <w:lang w:val="cs-CZ"/>
        </w:rPr>
        <w:t>konan</w:t>
      </w:r>
      <w:r w:rsidR="00E02007">
        <w:rPr>
          <w:rFonts w:cstheme="minorHAnsi"/>
          <w:b/>
          <w:color w:val="000000" w:themeColor="text1"/>
          <w:lang w:val="cs-CZ"/>
        </w:rPr>
        <w:t xml:space="preserve">ým </w:t>
      </w:r>
    </w:p>
    <w:p w14:paraId="0B47C410" w14:textId="62FD16D6" w:rsidR="007C7E58" w:rsidRDefault="00796C60" w:rsidP="00796C60">
      <w:pPr>
        <w:rPr>
          <w:rFonts w:cstheme="minorHAnsi"/>
          <w:b/>
          <w:color w:val="000000" w:themeColor="text1"/>
          <w:lang w:val="cs-CZ"/>
        </w:rPr>
      </w:pPr>
      <w:r>
        <w:rPr>
          <w:rFonts w:cstheme="minorHAnsi"/>
          <w:b/>
          <w:color w:val="000000" w:themeColor="text1"/>
          <w:lang w:val="cs-CZ"/>
        </w:rPr>
        <w:t>24.–25.</w:t>
      </w:r>
      <w:r w:rsidR="00834E9C">
        <w:rPr>
          <w:rFonts w:cstheme="minorHAnsi"/>
          <w:b/>
          <w:color w:val="000000" w:themeColor="text1"/>
          <w:lang w:val="cs-CZ"/>
        </w:rPr>
        <w:t> </w:t>
      </w:r>
      <w:r>
        <w:rPr>
          <w:rFonts w:cstheme="minorHAnsi"/>
          <w:b/>
          <w:color w:val="000000" w:themeColor="text1"/>
          <w:lang w:val="cs-CZ"/>
        </w:rPr>
        <w:t>května 2019</w:t>
      </w:r>
    </w:p>
    <w:p w14:paraId="04F0E509" w14:textId="288F314F" w:rsidR="00834E9C" w:rsidRDefault="00834E9C" w:rsidP="00796C60">
      <w:pPr>
        <w:rPr>
          <w:rFonts w:cstheme="minorHAnsi"/>
          <w:b/>
          <w:color w:val="000000" w:themeColor="text1"/>
          <w:lang w:val="cs-CZ"/>
        </w:rPr>
      </w:pPr>
    </w:p>
    <w:p w14:paraId="0A8B3DCD" w14:textId="330F75FB" w:rsidR="00695F03" w:rsidRDefault="00834E9C">
      <w:pPr>
        <w:rPr>
          <w:rFonts w:cstheme="minorHAnsi"/>
          <w:color w:val="000000" w:themeColor="text1"/>
          <w:lang w:val="cs-CZ"/>
        </w:rPr>
      </w:pPr>
      <w:r w:rsidRPr="00834E9C">
        <w:rPr>
          <w:rFonts w:cstheme="minorHAnsi"/>
          <w:color w:val="000000" w:themeColor="text1"/>
          <w:lang w:val="cs-CZ"/>
        </w:rPr>
        <w:t>Návrh usnesení Republikového výboru:</w:t>
      </w:r>
    </w:p>
    <w:p w14:paraId="196003FD" w14:textId="50380343" w:rsidR="00796C60" w:rsidRPr="00834E9C" w:rsidRDefault="00796C60" w:rsidP="00834E9C">
      <w:pPr>
        <w:pStyle w:val="ListParagraph"/>
        <w:rPr>
          <w:rFonts w:cstheme="minorHAnsi"/>
          <w:color w:val="000000" w:themeColor="text1"/>
          <w:lang w:val="cs-CZ"/>
        </w:rPr>
      </w:pPr>
    </w:p>
    <w:p w14:paraId="42EA7C5A" w14:textId="5E006538" w:rsidR="00834E9C" w:rsidRPr="00834E9C" w:rsidRDefault="00834E9C" w:rsidP="00834E9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lang w:val="cs-CZ"/>
        </w:rPr>
      </w:pPr>
      <w:r w:rsidRPr="00834E9C">
        <w:rPr>
          <w:rFonts w:cstheme="minorHAnsi"/>
          <w:color w:val="000000" w:themeColor="text1"/>
          <w:lang w:val="cs-CZ"/>
        </w:rPr>
        <w:t xml:space="preserve">Republikový výbor souhlasí s následujícím </w:t>
      </w:r>
      <w:r w:rsidR="00796C60" w:rsidRPr="00834E9C">
        <w:rPr>
          <w:rFonts w:cstheme="minorHAnsi"/>
          <w:color w:val="000000" w:themeColor="text1"/>
          <w:lang w:val="cs-CZ"/>
        </w:rPr>
        <w:t>alokování</w:t>
      </w:r>
      <w:r w:rsidRPr="00834E9C">
        <w:rPr>
          <w:rFonts w:cstheme="minorHAnsi"/>
          <w:color w:val="000000" w:themeColor="text1"/>
          <w:lang w:val="cs-CZ"/>
        </w:rPr>
        <w:t>m</w:t>
      </w:r>
      <w:r w:rsidR="00796C60" w:rsidRPr="00834E9C">
        <w:rPr>
          <w:rFonts w:cstheme="minorHAnsi"/>
          <w:color w:val="000000" w:themeColor="text1"/>
          <w:lang w:val="cs-CZ"/>
        </w:rPr>
        <w:t xml:space="preserve"> rozpočtu mezi jednotlivé části kampaně</w:t>
      </w:r>
      <w:r w:rsidRPr="00834E9C">
        <w:rPr>
          <w:rFonts w:cstheme="minorHAnsi"/>
          <w:color w:val="000000" w:themeColor="text1"/>
          <w:lang w:val="cs-CZ"/>
        </w:rPr>
        <w:t xml:space="preserve">, v celkové výši dříve schválené položky </w:t>
      </w:r>
      <w:r w:rsidRPr="00834E9C">
        <w:rPr>
          <w:rFonts w:cstheme="minorHAnsi"/>
          <w:b/>
          <w:color w:val="000000" w:themeColor="text1"/>
          <w:lang w:val="cs-CZ"/>
        </w:rPr>
        <w:t>3 250 000 Kč</w:t>
      </w:r>
      <w:r w:rsidRPr="00834E9C">
        <w:rPr>
          <w:rFonts w:cstheme="minorHAnsi"/>
          <w:color w:val="000000" w:themeColor="text1"/>
          <w:lang w:val="cs-CZ"/>
        </w:rPr>
        <w:t xml:space="preserve"> „výdaje na </w:t>
      </w:r>
      <w:proofErr w:type="spellStart"/>
      <w:r w:rsidRPr="00834E9C">
        <w:rPr>
          <w:rFonts w:cstheme="minorHAnsi"/>
          <w:color w:val="000000" w:themeColor="text1"/>
          <w:lang w:val="cs-CZ"/>
        </w:rPr>
        <w:t>eurovolby</w:t>
      </w:r>
      <w:proofErr w:type="spellEnd"/>
      <w:r w:rsidRPr="00834E9C">
        <w:rPr>
          <w:rFonts w:cstheme="minorHAnsi"/>
          <w:color w:val="000000" w:themeColor="text1"/>
          <w:lang w:val="cs-CZ"/>
        </w:rPr>
        <w:t xml:space="preserve">“.  </w:t>
      </w:r>
      <w:r>
        <w:rPr>
          <w:rFonts w:cstheme="minorHAnsi"/>
          <w:color w:val="000000" w:themeColor="text1"/>
          <w:lang w:val="cs-CZ"/>
        </w:rPr>
        <w:t xml:space="preserve">Dříve </w:t>
      </w:r>
      <w:r w:rsidRPr="00834E9C">
        <w:rPr>
          <w:rFonts w:cstheme="minorHAnsi"/>
          <w:color w:val="000000" w:themeColor="text1"/>
          <w:lang w:val="cs-CZ"/>
        </w:rPr>
        <w:t>schválené záměry „školení čelních kandidátů“ 40 000 Kč a „Pirátské listy“ 350 000 Kč jsou začleněny do navrhovaných záměrů v tabulce.</w:t>
      </w:r>
    </w:p>
    <w:p w14:paraId="622E4932" w14:textId="1B142D74" w:rsidR="00796C60" w:rsidRPr="006754B1" w:rsidRDefault="00796C60" w:rsidP="00834E9C">
      <w:pPr>
        <w:pStyle w:val="ListParagraph"/>
        <w:rPr>
          <w:rFonts w:cstheme="minorHAnsi"/>
          <w:color w:val="000000" w:themeColor="text1"/>
          <w:lang w:val="cs-CZ"/>
        </w:rPr>
      </w:pPr>
    </w:p>
    <w:tbl>
      <w:tblPr>
        <w:tblpPr w:leftFromText="180" w:rightFromText="180" w:vertAnchor="page" w:horzAnchor="margin" w:tblpXSpec="center" w:tblpY="4809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560"/>
        <w:gridCol w:w="5528"/>
      </w:tblGrid>
      <w:tr w:rsidR="00834E9C" w:rsidRPr="00C64D53" w14:paraId="75108778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16912" w14:textId="77777777" w:rsidR="00834E9C" w:rsidRPr="008257A0" w:rsidRDefault="00834E9C" w:rsidP="00834E9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 w:themeFill="accent4" w:themeFillTint="66"/>
          </w:tcPr>
          <w:p w14:paraId="44189E7F" w14:textId="77777777" w:rsidR="00834E9C" w:rsidRPr="00C64D53" w:rsidRDefault="00834E9C" w:rsidP="00834E9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Předpokládané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F85487F" w14:textId="77777777" w:rsidR="00834E9C" w:rsidRPr="00C64D53" w:rsidRDefault="00834E9C" w:rsidP="00834E9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Záměr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max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)*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B3296" w14:textId="77777777" w:rsidR="00834E9C" w:rsidRPr="008257A0" w:rsidRDefault="00834E9C" w:rsidP="00834E9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C64D53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Zahrnuje</w:t>
            </w:r>
          </w:p>
        </w:tc>
      </w:tr>
      <w:tr w:rsidR="00834E9C" w:rsidRPr="00C64D53" w14:paraId="4DE93848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A04C7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Personální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6505F545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5D3BCA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60 000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9F5400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90 000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6481C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posila pro centrální organizaci, cestovní výlohy pro </w:t>
            </w:r>
            <w:proofErr w:type="spellStart"/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org</w:t>
            </w:r>
            <w:proofErr w:type="spellEnd"/>
            <w:r w:rsidRPr="00C64D53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.</w:t>
            </w: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 tým</w:t>
            </w:r>
          </w:p>
        </w:tc>
      </w:tr>
      <w:tr w:rsidR="00834E9C" w:rsidRPr="00C64D53" w14:paraId="7C423572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0165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Merch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183F2E00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5D3BCA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500 000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D47337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600 000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4EE2E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834E9C" w:rsidRPr="00C64D53" w14:paraId="7577EAD2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95558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Grafika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kreativa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681BDF6B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5D3BCA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150 000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56EC88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250 000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CDD05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grafické </w:t>
            </w:r>
            <w:r w:rsidRPr="00C64D53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práce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, kreativní poradenství</w:t>
            </w:r>
          </w:p>
        </w:tc>
      </w:tr>
      <w:tr w:rsidR="00834E9C" w:rsidRPr="00C64D53" w14:paraId="34D2F78B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86A9C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Video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6A9EA0EF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5D3BCA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150 000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90EEDA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270 000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80EF6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834E9C" w:rsidRPr="00C64D53" w14:paraId="4BF16528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F52DC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Kontaktní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 kampaň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75CA80B5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5D3BCA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600 000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B8A832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1 000 000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97D86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stany,</w:t>
            </w:r>
            <w:r w:rsidRPr="00C64D53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 noviny,</w:t>
            </w: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 guerilla akce</w:t>
            </w:r>
          </w:p>
        </w:tc>
      </w:tr>
      <w:tr w:rsidR="00834E9C" w:rsidRPr="00C64D53" w14:paraId="28CCEF59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28388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Online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6F3C9D45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5D3BCA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1 190 000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6A47FF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1 900 000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8B2B8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reklama na </w:t>
            </w:r>
            <w:r w:rsidRPr="00C64D53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sociálních sítích</w:t>
            </w: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, konzultant pro </w:t>
            </w:r>
            <w:r w:rsidRPr="00C64D53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online reklamu</w:t>
            </w:r>
          </w:p>
        </w:tc>
      </w:tr>
      <w:tr w:rsidR="00834E9C" w:rsidRPr="00C64D53" w14:paraId="20202315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6ED24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Outdoor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79C466AD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A3EA90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400 000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A8FEB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Pronájem reklamní plochy, tisk, plachty pro příznivce</w:t>
            </w:r>
          </w:p>
        </w:tc>
      </w:tr>
      <w:tr w:rsidR="00834E9C" w:rsidRPr="00C64D53" w14:paraId="3C0007D2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EA816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C64D53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Akce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5DB30418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300 000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B0FE16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300 000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06504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akce v krajích a centrální akce</w:t>
            </w:r>
          </w:p>
        </w:tc>
      </w:tr>
      <w:tr w:rsidR="00834E9C" w:rsidRPr="00C64D53" w14:paraId="425351FE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8D40F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PR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672C3C4E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60 000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127C04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90 000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C6CB7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mediální školení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, focení,</w:t>
            </w:r>
            <w:r w:rsidRPr="008257A0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tiskové konference</w:t>
            </w:r>
          </w:p>
        </w:tc>
      </w:tr>
      <w:tr w:rsidR="00834E9C" w:rsidRPr="00C64D53" w14:paraId="14754044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D48E1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Nečekané náklady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0E619DC8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240 000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EEC46B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 w:rsidRPr="002F405A"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240 000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210A4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  <w:t>vše ostatní a drobné výdaje</w:t>
            </w:r>
          </w:p>
        </w:tc>
      </w:tr>
      <w:tr w:rsidR="00834E9C" w:rsidRPr="00C64D53" w14:paraId="7E2EBD8C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F3EA0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3C827CBB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F7EE78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457F2" w14:textId="77777777" w:rsidR="00834E9C" w:rsidRPr="008257A0" w:rsidRDefault="00834E9C" w:rsidP="00834E9C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834E9C" w:rsidRPr="00C64D53" w14:paraId="32A2162D" w14:textId="77777777" w:rsidTr="00834E9C">
        <w:trPr>
          <w:trHeight w:val="30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A8D82" w14:textId="77777777" w:rsidR="00834E9C" w:rsidRPr="008257A0" w:rsidRDefault="00834E9C" w:rsidP="00834E9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8257A0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15839290" w14:textId="77777777" w:rsidR="00834E9C" w:rsidRPr="008257A0" w:rsidRDefault="00834E9C" w:rsidP="00834E9C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3 250 000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9A6C16" w14:textId="2B470F06" w:rsidR="00834E9C" w:rsidRPr="00834E9C" w:rsidRDefault="00834E9C" w:rsidP="00834E9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bCs/>
                <w:color w:val="000000" w:themeColor="text1"/>
                <w:sz w:val="22"/>
                <w:szCs w:val="22"/>
                <w:lang w:val="cs-CZ"/>
              </w:rPr>
            </w:pPr>
            <w:r w:rsidRPr="00834E9C">
              <w:rPr>
                <w:rFonts w:eastAsia="Times New Roman" w:cstheme="minorHAnsi"/>
                <w:bCs/>
                <w:color w:val="000000" w:themeColor="text1"/>
                <w:sz w:val="22"/>
                <w:szCs w:val="22"/>
                <w:lang w:val="cs-CZ"/>
              </w:rPr>
              <w:t>140 000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176AA" w14:textId="77777777" w:rsidR="00834E9C" w:rsidRPr="008257A0" w:rsidRDefault="00834E9C" w:rsidP="00834E9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4122E8AE" w14:textId="77777777" w:rsidR="00C64D53" w:rsidRDefault="00C64D53" w:rsidP="00796C60">
      <w:pPr>
        <w:rPr>
          <w:rFonts w:cstheme="minorHAnsi"/>
          <w:color w:val="000000" w:themeColor="text1"/>
          <w:lang w:val="cs-CZ"/>
        </w:rPr>
      </w:pPr>
    </w:p>
    <w:p w14:paraId="79B35E64" w14:textId="1E58B9FE" w:rsidR="00C64D53" w:rsidRPr="00834E9C" w:rsidRDefault="00834E9C" w:rsidP="00834E9C">
      <w:pPr>
        <w:rPr>
          <w:rFonts w:cstheme="minorHAnsi"/>
          <w:color w:val="000000" w:themeColor="text1"/>
          <w:lang w:val="cs-CZ"/>
        </w:rPr>
      </w:pPr>
      <w:r w:rsidRPr="00834E9C">
        <w:rPr>
          <w:rFonts w:cstheme="minorHAnsi"/>
          <w:b/>
          <w:color w:val="000000" w:themeColor="text1"/>
          <w:lang w:val="cs-CZ"/>
        </w:rPr>
        <w:t>*</w:t>
      </w:r>
      <w:r>
        <w:rPr>
          <w:rFonts w:cstheme="minorHAnsi"/>
          <w:color w:val="000000" w:themeColor="text1"/>
          <w:lang w:val="cs-CZ"/>
        </w:rPr>
        <w:t xml:space="preserve"> </w:t>
      </w:r>
      <w:r w:rsidR="00BA23D5" w:rsidRPr="00834E9C">
        <w:rPr>
          <w:rFonts w:cstheme="minorHAnsi"/>
          <w:color w:val="000000" w:themeColor="text1"/>
          <w:lang w:val="cs-CZ"/>
        </w:rPr>
        <w:t xml:space="preserve">Celková výše navrhovaných záměrů je 5 140 000 Kč, a přesahuje tedy schválenou rozpočtovou položku „výdaje na </w:t>
      </w:r>
      <w:proofErr w:type="spellStart"/>
      <w:r w:rsidR="00BA23D5" w:rsidRPr="00834E9C">
        <w:rPr>
          <w:rFonts w:cstheme="minorHAnsi"/>
          <w:color w:val="000000" w:themeColor="text1"/>
          <w:lang w:val="cs-CZ"/>
        </w:rPr>
        <w:t>eurovolby</w:t>
      </w:r>
      <w:proofErr w:type="spellEnd"/>
      <w:r w:rsidR="00BA23D5" w:rsidRPr="00834E9C">
        <w:rPr>
          <w:rFonts w:cstheme="minorHAnsi"/>
          <w:color w:val="000000" w:themeColor="text1"/>
          <w:lang w:val="cs-CZ"/>
        </w:rPr>
        <w:t>“ ve výši 3 250 000 Kč. Důvodem je, aby se výše výdajů na jednotlivé části kampaně mohla flexibilně</w:t>
      </w:r>
      <w:r w:rsidR="006754B1" w:rsidRPr="00834E9C">
        <w:rPr>
          <w:rFonts w:cstheme="minorHAnsi"/>
          <w:color w:val="000000" w:themeColor="text1"/>
          <w:lang w:val="cs-CZ"/>
        </w:rPr>
        <w:t>,</w:t>
      </w:r>
      <w:r w:rsidR="00BA23D5" w:rsidRPr="00834E9C">
        <w:rPr>
          <w:rFonts w:cstheme="minorHAnsi"/>
          <w:color w:val="000000" w:themeColor="text1"/>
          <w:lang w:val="cs-CZ"/>
        </w:rPr>
        <w:t xml:space="preserve"> </w:t>
      </w:r>
      <w:r w:rsidR="006754B1" w:rsidRPr="00834E9C">
        <w:rPr>
          <w:rFonts w:cstheme="minorHAnsi"/>
          <w:color w:val="000000" w:themeColor="text1"/>
          <w:lang w:val="cs-CZ"/>
        </w:rPr>
        <w:t xml:space="preserve">operativně </w:t>
      </w:r>
      <w:r w:rsidR="00BA23D5" w:rsidRPr="00834E9C">
        <w:rPr>
          <w:rFonts w:cstheme="minorHAnsi"/>
          <w:color w:val="000000" w:themeColor="text1"/>
          <w:lang w:val="cs-CZ"/>
        </w:rPr>
        <w:t xml:space="preserve">upravovat podle situace. Zvýrazněné částky jsou předpokládané výdaje na jednotlivé části kampaně, jejichž součet se rovná reálné rozpočtové položce. </w:t>
      </w:r>
      <w:r w:rsidR="006754B1" w:rsidRPr="00834E9C">
        <w:rPr>
          <w:rFonts w:cstheme="minorHAnsi"/>
          <w:color w:val="000000" w:themeColor="text1"/>
          <w:lang w:val="cs-CZ"/>
        </w:rPr>
        <w:t xml:space="preserve">Volební výdaje z centrálního rozpočtu nesmí překročit </w:t>
      </w:r>
      <w:r w:rsidR="006754B1" w:rsidRPr="00834E9C">
        <w:rPr>
          <w:rFonts w:cstheme="minorHAnsi"/>
          <w:color w:val="000000" w:themeColor="text1"/>
          <w:lang w:val="cs-CZ"/>
        </w:rPr>
        <w:t>celkov</w:t>
      </w:r>
      <w:r w:rsidR="006754B1" w:rsidRPr="00834E9C">
        <w:rPr>
          <w:rFonts w:cstheme="minorHAnsi"/>
          <w:color w:val="000000" w:themeColor="text1"/>
          <w:lang w:val="cs-CZ"/>
        </w:rPr>
        <w:t>ou</w:t>
      </w:r>
      <w:r w:rsidR="006754B1" w:rsidRPr="00834E9C">
        <w:rPr>
          <w:rFonts w:cstheme="minorHAnsi"/>
          <w:color w:val="000000" w:themeColor="text1"/>
          <w:lang w:val="cs-CZ"/>
        </w:rPr>
        <w:t xml:space="preserve"> částk</w:t>
      </w:r>
      <w:r w:rsidR="006754B1" w:rsidRPr="00834E9C">
        <w:rPr>
          <w:rFonts w:cstheme="minorHAnsi"/>
          <w:color w:val="000000" w:themeColor="text1"/>
          <w:lang w:val="cs-CZ"/>
        </w:rPr>
        <w:t xml:space="preserve">u </w:t>
      </w:r>
      <w:r w:rsidR="00BA23D5" w:rsidRPr="00834E9C">
        <w:rPr>
          <w:rFonts w:cstheme="minorHAnsi"/>
          <w:color w:val="000000" w:themeColor="text1"/>
          <w:lang w:val="cs-CZ"/>
        </w:rPr>
        <w:t xml:space="preserve">3 250 000 </w:t>
      </w:r>
      <w:r w:rsidR="006754B1" w:rsidRPr="00834E9C">
        <w:rPr>
          <w:rFonts w:cstheme="minorHAnsi"/>
          <w:color w:val="000000" w:themeColor="text1"/>
          <w:lang w:val="cs-CZ"/>
        </w:rPr>
        <w:t>Kč</w:t>
      </w:r>
      <w:r w:rsidR="00BA23D5" w:rsidRPr="00834E9C">
        <w:rPr>
          <w:rFonts w:cstheme="minorHAnsi"/>
          <w:color w:val="000000" w:themeColor="text1"/>
          <w:lang w:val="cs-CZ"/>
        </w:rPr>
        <w:t>. Výše záměrů (</w:t>
      </w:r>
      <w:proofErr w:type="spellStart"/>
      <w:r w:rsidR="00BA23D5" w:rsidRPr="00834E9C">
        <w:rPr>
          <w:rFonts w:cstheme="minorHAnsi"/>
          <w:color w:val="000000" w:themeColor="text1"/>
          <w:lang w:val="cs-CZ"/>
        </w:rPr>
        <w:t>max</w:t>
      </w:r>
      <w:proofErr w:type="spellEnd"/>
      <w:r w:rsidR="00BA23D5" w:rsidRPr="00834E9C">
        <w:rPr>
          <w:rFonts w:cstheme="minorHAnsi"/>
          <w:color w:val="000000" w:themeColor="text1"/>
          <w:lang w:val="cs-CZ"/>
        </w:rPr>
        <w:t xml:space="preserve">) určují maximální výši výdajů na jednotlivé části kampaně. </w:t>
      </w:r>
    </w:p>
    <w:p w14:paraId="66E73AFC" w14:textId="4FCEC843" w:rsidR="00BA23D5" w:rsidRDefault="00BA23D5" w:rsidP="00796C60">
      <w:pPr>
        <w:rPr>
          <w:rFonts w:cstheme="minorHAnsi"/>
          <w:color w:val="000000" w:themeColor="text1"/>
          <w:lang w:val="cs-CZ"/>
        </w:rPr>
      </w:pPr>
    </w:p>
    <w:p w14:paraId="382A5E97" w14:textId="7FE346B3" w:rsidR="005D3BCA" w:rsidRPr="00834E9C" w:rsidRDefault="00BA23D5" w:rsidP="00796C6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lang w:val="cs-CZ"/>
        </w:rPr>
      </w:pPr>
      <w:r w:rsidRPr="006754B1">
        <w:rPr>
          <w:rFonts w:cstheme="minorHAnsi"/>
          <w:color w:val="000000" w:themeColor="text1"/>
          <w:lang w:val="cs-CZ"/>
        </w:rPr>
        <w:t>Volební výbor rozhoduje o nakládání s příjm</w:t>
      </w:r>
      <w:bookmarkStart w:id="0" w:name="_GoBack"/>
      <w:bookmarkEnd w:id="0"/>
      <w:r w:rsidRPr="006754B1">
        <w:rPr>
          <w:rFonts w:cstheme="minorHAnsi"/>
          <w:color w:val="000000" w:themeColor="text1"/>
          <w:lang w:val="cs-CZ"/>
        </w:rPr>
        <w:t xml:space="preserve">y z účelových darů na </w:t>
      </w:r>
      <w:proofErr w:type="spellStart"/>
      <w:r w:rsidRPr="006754B1">
        <w:rPr>
          <w:rFonts w:cstheme="minorHAnsi"/>
          <w:color w:val="000000" w:themeColor="text1"/>
          <w:lang w:val="cs-CZ"/>
        </w:rPr>
        <w:t>eurovolby</w:t>
      </w:r>
      <w:proofErr w:type="spellEnd"/>
      <w:r w:rsidRPr="006754B1">
        <w:rPr>
          <w:rFonts w:cstheme="minorHAnsi"/>
          <w:color w:val="000000" w:themeColor="text1"/>
          <w:lang w:val="cs-CZ"/>
        </w:rPr>
        <w:t xml:space="preserve">. Celkové výdaje za </w:t>
      </w:r>
      <w:proofErr w:type="spellStart"/>
      <w:r w:rsidRPr="006754B1">
        <w:rPr>
          <w:rFonts w:cstheme="minorHAnsi"/>
          <w:color w:val="000000" w:themeColor="text1"/>
          <w:lang w:val="cs-CZ"/>
        </w:rPr>
        <w:t>eurovolby</w:t>
      </w:r>
      <w:proofErr w:type="spellEnd"/>
      <w:r w:rsidRPr="006754B1">
        <w:rPr>
          <w:rFonts w:cstheme="minorHAnsi"/>
          <w:color w:val="000000" w:themeColor="text1"/>
          <w:lang w:val="cs-CZ"/>
        </w:rPr>
        <w:t xml:space="preserve"> m</w:t>
      </w:r>
      <w:r w:rsidR="006754B1">
        <w:rPr>
          <w:rFonts w:cstheme="minorHAnsi"/>
          <w:color w:val="000000" w:themeColor="text1"/>
          <w:lang w:val="cs-CZ"/>
        </w:rPr>
        <w:t>oh</w:t>
      </w:r>
      <w:r w:rsidRPr="006754B1">
        <w:rPr>
          <w:rFonts w:cstheme="minorHAnsi"/>
          <w:color w:val="000000" w:themeColor="text1"/>
          <w:lang w:val="cs-CZ"/>
        </w:rPr>
        <w:t>ou být tedy po obdržení darů vyšší než uveden</w:t>
      </w:r>
      <w:r w:rsidR="00834E9C">
        <w:rPr>
          <w:rFonts w:cstheme="minorHAnsi"/>
          <w:color w:val="000000" w:themeColor="text1"/>
          <w:lang w:val="cs-CZ"/>
        </w:rPr>
        <w:t>á</w:t>
      </w:r>
      <w:r w:rsidR="006754B1">
        <w:rPr>
          <w:rFonts w:cstheme="minorHAnsi"/>
          <w:color w:val="000000" w:themeColor="text1"/>
          <w:lang w:val="cs-CZ"/>
        </w:rPr>
        <w:t xml:space="preserve"> předpokládan</w:t>
      </w:r>
      <w:r w:rsidR="00834E9C">
        <w:rPr>
          <w:rFonts w:cstheme="minorHAnsi"/>
          <w:color w:val="000000" w:themeColor="text1"/>
          <w:lang w:val="cs-CZ"/>
        </w:rPr>
        <w:t xml:space="preserve">á </w:t>
      </w:r>
      <w:r w:rsidRPr="006754B1">
        <w:rPr>
          <w:rFonts w:cstheme="minorHAnsi"/>
          <w:color w:val="000000" w:themeColor="text1"/>
          <w:lang w:val="cs-CZ"/>
        </w:rPr>
        <w:t>částk</w:t>
      </w:r>
      <w:r w:rsidR="00834E9C">
        <w:rPr>
          <w:rFonts w:cstheme="minorHAnsi"/>
          <w:color w:val="000000" w:themeColor="text1"/>
          <w:lang w:val="cs-CZ"/>
        </w:rPr>
        <w:t>a</w:t>
      </w:r>
      <w:r w:rsidR="00261DEA" w:rsidRPr="006754B1">
        <w:rPr>
          <w:rFonts w:cstheme="minorHAnsi"/>
          <w:color w:val="000000" w:themeColor="text1"/>
          <w:lang w:val="cs-CZ"/>
        </w:rPr>
        <w:t xml:space="preserve">, protože </w:t>
      </w:r>
      <w:r w:rsidR="006754B1">
        <w:rPr>
          <w:rFonts w:cstheme="minorHAnsi"/>
          <w:color w:val="000000" w:themeColor="text1"/>
          <w:lang w:val="cs-CZ"/>
        </w:rPr>
        <w:t xml:space="preserve">ta </w:t>
      </w:r>
      <w:r w:rsidR="00261DEA" w:rsidRPr="006754B1">
        <w:rPr>
          <w:rFonts w:cstheme="minorHAnsi"/>
          <w:color w:val="000000" w:themeColor="text1"/>
          <w:lang w:val="cs-CZ"/>
        </w:rPr>
        <w:t>neobsahuj</w:t>
      </w:r>
      <w:r w:rsidR="006754B1">
        <w:rPr>
          <w:rFonts w:cstheme="minorHAnsi"/>
          <w:color w:val="000000" w:themeColor="text1"/>
          <w:lang w:val="cs-CZ"/>
        </w:rPr>
        <w:t xml:space="preserve">e </w:t>
      </w:r>
      <w:r w:rsidR="00261DEA" w:rsidRPr="006754B1">
        <w:rPr>
          <w:rFonts w:cstheme="minorHAnsi"/>
          <w:color w:val="000000" w:themeColor="text1"/>
          <w:lang w:val="cs-CZ"/>
        </w:rPr>
        <w:t xml:space="preserve">prostředky získané </w:t>
      </w:r>
      <w:proofErr w:type="spellStart"/>
      <w:r w:rsidR="00261DEA" w:rsidRPr="006754B1">
        <w:rPr>
          <w:rFonts w:cstheme="minorHAnsi"/>
          <w:color w:val="000000" w:themeColor="text1"/>
          <w:lang w:val="cs-CZ"/>
        </w:rPr>
        <w:t>fundraisingem</w:t>
      </w:r>
      <w:proofErr w:type="spellEnd"/>
      <w:r w:rsidR="00261DEA" w:rsidRPr="006754B1">
        <w:rPr>
          <w:rFonts w:cstheme="minorHAnsi"/>
          <w:color w:val="000000" w:themeColor="text1"/>
          <w:lang w:val="cs-CZ"/>
        </w:rPr>
        <w:t>.</w:t>
      </w:r>
    </w:p>
    <w:p w14:paraId="3C24519B" w14:textId="585B80EC" w:rsidR="005D3BCA" w:rsidRDefault="005D3BCA" w:rsidP="00796C60">
      <w:pPr>
        <w:rPr>
          <w:rFonts w:cstheme="minorHAnsi"/>
          <w:color w:val="000000" w:themeColor="text1"/>
          <w:lang w:val="cs-CZ"/>
        </w:rPr>
      </w:pPr>
    </w:p>
    <w:p w14:paraId="496DC0DD" w14:textId="128CC40A" w:rsidR="005D3BCA" w:rsidRDefault="005D3BCA" w:rsidP="00796C60">
      <w:pPr>
        <w:rPr>
          <w:rFonts w:cstheme="minorHAnsi"/>
          <w:color w:val="000000" w:themeColor="text1"/>
          <w:lang w:val="cs-CZ"/>
        </w:rPr>
      </w:pPr>
    </w:p>
    <w:p w14:paraId="69B5C07F" w14:textId="77777777" w:rsidR="005D3BCA" w:rsidRDefault="005D3BCA" w:rsidP="00796C60">
      <w:pPr>
        <w:rPr>
          <w:rFonts w:cstheme="minorHAnsi"/>
          <w:color w:val="000000" w:themeColor="text1"/>
          <w:lang w:val="cs-CZ"/>
        </w:rPr>
      </w:pPr>
    </w:p>
    <w:sectPr w:rsidR="005D3BCA" w:rsidSect="00796C60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3476" w14:textId="77777777" w:rsidR="00EC19F0" w:rsidRDefault="00EC19F0" w:rsidP="00B92993">
      <w:r>
        <w:separator/>
      </w:r>
    </w:p>
  </w:endnote>
  <w:endnote w:type="continuationSeparator" w:id="0">
    <w:p w14:paraId="4DECCD0A" w14:textId="77777777" w:rsidR="00EC19F0" w:rsidRDefault="00EC19F0" w:rsidP="00B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A3BA" w14:textId="2B8E0664" w:rsidR="00B92993" w:rsidRPr="00B92993" w:rsidRDefault="00B92993" w:rsidP="00B9299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B5D05B" wp14:editId="2625C483">
          <wp:simplePos x="0" y="0"/>
          <wp:positionH relativeFrom="column">
            <wp:posOffset>5293792</wp:posOffset>
          </wp:positionH>
          <wp:positionV relativeFrom="paragraph">
            <wp:posOffset>-176733</wp:posOffset>
          </wp:positionV>
          <wp:extent cx="529590" cy="5295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lajka-master-cer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993">
      <w:t>Martina Kavanová</w:t>
    </w:r>
    <w:r>
      <w:tab/>
      <w:t xml:space="preserve"> </w:t>
    </w:r>
    <w:r w:rsidRPr="00B92993">
      <w:tab/>
    </w:r>
    <w:r w:rsidRPr="00B929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E523" w14:textId="77777777" w:rsidR="00EC19F0" w:rsidRDefault="00EC19F0" w:rsidP="00B92993">
      <w:r>
        <w:separator/>
      </w:r>
    </w:p>
  </w:footnote>
  <w:footnote w:type="continuationSeparator" w:id="0">
    <w:p w14:paraId="3B35CCDF" w14:textId="77777777" w:rsidR="00EC19F0" w:rsidRDefault="00EC19F0" w:rsidP="00B9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864"/>
    <w:multiLevelType w:val="hybridMultilevel"/>
    <w:tmpl w:val="EDD0E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69E5"/>
    <w:multiLevelType w:val="hybridMultilevel"/>
    <w:tmpl w:val="96581C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17165F"/>
    <w:multiLevelType w:val="hybridMultilevel"/>
    <w:tmpl w:val="ABAEB956"/>
    <w:lvl w:ilvl="0" w:tplc="174620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224A2"/>
    <w:multiLevelType w:val="hybridMultilevel"/>
    <w:tmpl w:val="53BA9238"/>
    <w:lvl w:ilvl="0" w:tplc="3A288EA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C370D5"/>
    <w:multiLevelType w:val="hybridMultilevel"/>
    <w:tmpl w:val="B804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0"/>
    <w:rsid w:val="00005497"/>
    <w:rsid w:val="0012509E"/>
    <w:rsid w:val="00261DEA"/>
    <w:rsid w:val="002F405A"/>
    <w:rsid w:val="002F541F"/>
    <w:rsid w:val="004339DB"/>
    <w:rsid w:val="004C51BB"/>
    <w:rsid w:val="00571A0B"/>
    <w:rsid w:val="0058060C"/>
    <w:rsid w:val="005D3BCA"/>
    <w:rsid w:val="00646805"/>
    <w:rsid w:val="00655273"/>
    <w:rsid w:val="006754B1"/>
    <w:rsid w:val="00695F03"/>
    <w:rsid w:val="006A10D9"/>
    <w:rsid w:val="006C3D64"/>
    <w:rsid w:val="00796C60"/>
    <w:rsid w:val="007C7E58"/>
    <w:rsid w:val="008257A0"/>
    <w:rsid w:val="00834E9C"/>
    <w:rsid w:val="008C40B2"/>
    <w:rsid w:val="009A59D8"/>
    <w:rsid w:val="00B14BD7"/>
    <w:rsid w:val="00B26153"/>
    <w:rsid w:val="00B92993"/>
    <w:rsid w:val="00BA23D5"/>
    <w:rsid w:val="00C64D53"/>
    <w:rsid w:val="00D1393D"/>
    <w:rsid w:val="00D8727F"/>
    <w:rsid w:val="00E02007"/>
    <w:rsid w:val="00E34850"/>
    <w:rsid w:val="00EC19F0"/>
    <w:rsid w:val="00EC57BF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305B"/>
  <w15:chartTrackingRefBased/>
  <w15:docId w15:val="{0E0AEE23-79DF-4542-ABE9-A21F09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40D"/>
    <w:pPr>
      <w:keepNext/>
      <w:keepLines/>
      <w:widowControl w:val="0"/>
      <w:spacing w:before="360" w:after="120"/>
      <w:outlineLvl w:val="0"/>
    </w:pPr>
    <w:rPr>
      <w:rFonts w:eastAsiaTheme="majorEastAsia" w:cstheme="majorBidi"/>
      <w:b/>
      <w:snapToGrid w:val="0"/>
      <w:color w:val="000000" w:themeColor="text1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40D"/>
    <w:pPr>
      <w:keepNext/>
      <w:keepLines/>
      <w:widowControl w:val="0"/>
      <w:spacing w:before="40"/>
      <w:ind w:left="720"/>
      <w:outlineLvl w:val="1"/>
    </w:pPr>
    <w:rPr>
      <w:rFonts w:eastAsiaTheme="majorEastAsia" w:cstheme="majorBidi"/>
      <w:i/>
      <w:snapToGrid w:val="0"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0D"/>
    <w:rPr>
      <w:rFonts w:eastAsiaTheme="majorEastAsia" w:cstheme="majorBidi"/>
      <w:b/>
      <w:snapToGrid w:val="0"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40D"/>
    <w:rPr>
      <w:rFonts w:eastAsiaTheme="majorEastAsia" w:cstheme="majorBidi"/>
      <w:i/>
      <w:snapToGrid w:val="0"/>
      <w:color w:val="000000" w:themeColor="text1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96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93"/>
  </w:style>
  <w:style w:type="paragraph" w:styleId="Footer">
    <w:name w:val="footer"/>
    <w:basedOn w:val="Normal"/>
    <w:link w:val="FooterChar"/>
    <w:uiPriority w:val="99"/>
    <w:unhideWhenUsed/>
    <w:rsid w:val="00B92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Kavanová</dc:creator>
  <cp:keywords/>
  <dc:description/>
  <cp:lastModifiedBy>Martina Kavanová</cp:lastModifiedBy>
  <cp:revision>13</cp:revision>
  <dcterms:created xsi:type="dcterms:W3CDTF">2019-01-13T18:05:00Z</dcterms:created>
  <dcterms:modified xsi:type="dcterms:W3CDTF">2019-01-17T14:36:00Z</dcterms:modified>
</cp:coreProperties>
</file>