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Úř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ad pro dohled nad hospoda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m politick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ch stran a politick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ch hnut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Kounicova 688/26</w:t>
      </w:r>
    </w:p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602 00 Brno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ID DS psn9irb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Praha, </w:t>
      </w:r>
      <w:r>
        <w:rPr>
          <w:rFonts w:ascii="Cambria" w:cs="Cambria" w:hAnsi="Cambria" w:eastAsia="Cambria"/>
          <w:sz w:val="24"/>
          <w:szCs w:val="24"/>
          <w:rtl w:val="0"/>
        </w:rPr>
        <w:t>20</w:t>
      </w:r>
      <w:r>
        <w:rPr>
          <w:rFonts w:ascii="Cambria" w:cs="Cambria" w:hAnsi="Cambria" w:eastAsia="Cambria"/>
          <w:sz w:val="24"/>
          <w:szCs w:val="24"/>
          <w:rtl w:val="0"/>
        </w:rPr>
        <w:t>. 11. 2017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C: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PODN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T 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ZAH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JEN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 ŘÍ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ZEN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Z MOCI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ÚŘ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EDN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Body A"/>
        <w:ind w:left="2098" w:hanging="2098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 A"/>
        <w:ind w:left="2098" w:hanging="2098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 A"/>
        <w:ind w:left="2098" w:hanging="2098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                              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áž</w:t>
      </w:r>
      <w:r>
        <w:rPr>
          <w:rFonts w:ascii="Cambria" w:cs="Cambria" w:hAnsi="Cambria" w:eastAsia="Cambria"/>
          <w:sz w:val="24"/>
          <w:szCs w:val="24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tab/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esk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pir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tsk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strana, 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O: 713 39 698, se 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dlem 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eho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ova 943/19, 130 00 Praha 3, 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skala z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ve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ejn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dostupn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zdroj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</w:rPr>
        <w:t>informace zakl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daj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podez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na sp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estupku dle ust.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§ </w:t>
      </w:r>
      <w:r>
        <w:rPr>
          <w:rFonts w:ascii="Cambria" w:cs="Cambria" w:hAnsi="Cambria" w:eastAsia="Cambria"/>
          <w:sz w:val="24"/>
          <w:szCs w:val="24"/>
          <w:rtl w:val="0"/>
        </w:rPr>
        <w:t>16g odst. 1 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sm. b)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kona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. 247/1995 Sb., o volb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ch do Parlamentu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esk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republiky a o zm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a dopln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kter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dal</w:t>
      </w:r>
      <w:r>
        <w:rPr>
          <w:rFonts w:ascii="Cambria" w:cs="Cambria" w:hAnsi="Cambria" w:eastAsia="Cambria"/>
          <w:sz w:val="24"/>
          <w:szCs w:val="24"/>
          <w:rtl w:val="0"/>
        </w:rPr>
        <w:t>ší</w:t>
      </w:r>
      <w:r>
        <w:rPr>
          <w:rFonts w:ascii="Cambria" w:cs="Cambria" w:hAnsi="Cambria" w:eastAsia="Cambria"/>
          <w:sz w:val="24"/>
          <w:szCs w:val="24"/>
          <w:rtl w:val="0"/>
        </w:rPr>
        <w:t>ch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</w:rPr>
        <w:t>(d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le jen </w:t>
      </w:r>
      <w:r>
        <w:rPr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</w:t>
      </w:r>
      <w:r>
        <w:rPr>
          <w:rFonts w:ascii="Cambria" w:cs="Cambria" w:hAnsi="Cambria" w:eastAsia="Cambria"/>
          <w:sz w:val="24"/>
          <w:szCs w:val="24"/>
          <w:rtl w:val="0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), resp. spr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deliktu dle ust.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§ </w:t>
      </w:r>
      <w:r>
        <w:rPr>
          <w:rFonts w:ascii="Cambria" w:cs="Cambria" w:hAnsi="Cambria" w:eastAsia="Cambria"/>
          <w:sz w:val="24"/>
          <w:szCs w:val="24"/>
          <w:rtl w:val="0"/>
        </w:rPr>
        <w:t>16h odst. 1 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sm. b)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kona.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vaznosti na n</w:t>
      </w:r>
      <w:r>
        <w:rPr>
          <w:rFonts w:ascii="Cambria" w:cs="Cambria" w:hAnsi="Cambria" w:eastAsia="Cambria"/>
          <w:sz w:val="24"/>
          <w:szCs w:val="24"/>
          <w:rtl w:val="0"/>
        </w:rPr>
        <w:t>íž</w:t>
      </w:r>
      <w:r>
        <w:rPr>
          <w:rFonts w:ascii="Cambria" w:cs="Cambria" w:hAnsi="Cambria" w:eastAsia="Cambria"/>
          <w:sz w:val="24"/>
          <w:szCs w:val="24"/>
          <w:rtl w:val="0"/>
        </w:rPr>
        <w:t>e uveden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informace 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mto pod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podn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zah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jen</w:t>
      </w:r>
      <w:r>
        <w:rPr>
          <w:rFonts w:ascii="Cambria" w:cs="Cambria" w:hAnsi="Cambria" w:eastAsia="Cambria"/>
          <w:sz w:val="24"/>
          <w:szCs w:val="24"/>
          <w:rtl w:val="0"/>
        </w:rPr>
        <w:t>í ří</w:t>
      </w:r>
      <w:r>
        <w:rPr>
          <w:rFonts w:ascii="Cambria" w:cs="Cambria" w:hAnsi="Cambria" w:eastAsia="Cambria"/>
          <w:sz w:val="24"/>
          <w:szCs w:val="24"/>
          <w:rtl w:val="0"/>
        </w:rPr>
        <w:t>zen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moci </w:t>
      </w:r>
      <w:r>
        <w:rPr>
          <w:rFonts w:ascii="Cambria" w:cs="Cambria" w:hAnsi="Cambria" w:eastAsia="Cambria"/>
          <w:sz w:val="24"/>
          <w:szCs w:val="24"/>
          <w:rtl w:val="0"/>
        </w:rPr>
        <w:t>úř</w:t>
      </w:r>
      <w:r>
        <w:rPr>
          <w:rFonts w:ascii="Cambria" w:cs="Cambria" w:hAnsi="Cambria" w:eastAsia="Cambria"/>
          <w:sz w:val="24"/>
          <w:szCs w:val="24"/>
          <w:rtl w:val="0"/>
        </w:rPr>
        <w:t>edn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 </w:t>
      </w:r>
      <w:r>
        <w:rPr>
          <w:rFonts w:ascii="Cambria" w:cs="Cambria" w:hAnsi="Cambria" w:eastAsia="Cambria"/>
          <w:sz w:val="24"/>
          <w:szCs w:val="24"/>
          <w:rtl w:val="0"/>
        </w:rPr>
        <w:t>žá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 Úř</w:t>
      </w:r>
      <w:r>
        <w:rPr>
          <w:rFonts w:ascii="Cambria" w:cs="Cambria" w:hAnsi="Cambria" w:eastAsia="Cambria"/>
          <w:sz w:val="24"/>
          <w:szCs w:val="24"/>
          <w:rtl w:val="0"/>
        </w:rPr>
        <w:t>ad pro dohled nad hospoda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 politick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stran a politick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hnut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(d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le jen </w:t>
      </w:r>
      <w:r>
        <w:rPr>
          <w:rFonts w:ascii="Cambria" w:cs="Cambria" w:hAnsi="Cambria" w:eastAsia="Cambria"/>
          <w:sz w:val="24"/>
          <w:szCs w:val="24"/>
          <w:rtl w:val="0"/>
        </w:rPr>
        <w:t>„Úř</w:t>
      </w:r>
      <w:r>
        <w:rPr>
          <w:rFonts w:ascii="Cambria" w:cs="Cambria" w:hAnsi="Cambria" w:eastAsia="Cambria"/>
          <w:sz w:val="24"/>
          <w:szCs w:val="24"/>
          <w:rtl w:val="0"/>
        </w:rPr>
        <w:t>ad</w:t>
      </w:r>
      <w:r>
        <w:rPr>
          <w:rFonts w:ascii="Cambria" w:cs="Cambria" w:hAnsi="Cambria" w:eastAsia="Cambria"/>
          <w:sz w:val="24"/>
          <w:szCs w:val="24"/>
          <w:rtl w:val="0"/>
        </w:rPr>
        <w:t>“</w:t>
      </w:r>
      <w:r>
        <w:rPr>
          <w:rFonts w:ascii="Cambria" w:cs="Cambria" w:hAnsi="Cambria" w:eastAsia="Cambria"/>
          <w:sz w:val="24"/>
          <w:szCs w:val="24"/>
          <w:rtl w:val="0"/>
        </w:rPr>
        <w:t>), aby takov</w:t>
      </w:r>
      <w:r>
        <w:rPr>
          <w:rFonts w:ascii="Cambria" w:cs="Cambria" w:hAnsi="Cambria" w:eastAsia="Cambria"/>
          <w:sz w:val="24"/>
          <w:szCs w:val="24"/>
          <w:rtl w:val="0"/>
        </w:rPr>
        <w:t>é ří</w:t>
      </w:r>
      <w:r>
        <w:rPr>
          <w:rFonts w:ascii="Cambria" w:cs="Cambria" w:hAnsi="Cambria" w:eastAsia="Cambria"/>
          <w:sz w:val="24"/>
          <w:szCs w:val="24"/>
          <w:rtl w:val="0"/>
        </w:rPr>
        <w:t>zen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zah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jil a ulo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il p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slu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sankce. </w:t>
      </w: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tab/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 ří</w:t>
      </w:r>
      <w:r>
        <w:rPr>
          <w:rFonts w:ascii="Cambria" w:cs="Cambria" w:hAnsi="Cambria" w:eastAsia="Cambria"/>
          <w:sz w:val="24"/>
          <w:szCs w:val="24"/>
          <w:rtl w:val="0"/>
        </w:rPr>
        <w:t>jnu 2017 byl na str. 6 obecn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ho periodika m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sta Sob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slavi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Sob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slavsk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hl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 xml:space="preserve">ska </w:t>
      </w:r>
      <w:r>
        <w:rPr>
          <w:rFonts w:ascii="Cambria" w:cs="Cambria" w:hAnsi="Cambria" w:eastAsia="Cambria"/>
          <w:sz w:val="24"/>
          <w:szCs w:val="24"/>
          <w:rtl w:val="0"/>
        </w:rPr>
        <w:t>uve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ejn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č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Otiskov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í č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l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nk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Sob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slavsk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hl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  <w:rtl w:val="0"/>
        </w:rPr>
        <w:t>sce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jeho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text je 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 rozporu s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ust.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§ </w:t>
      </w:r>
      <w:r>
        <w:rPr>
          <w:rFonts w:ascii="Cambria" w:cs="Cambria" w:hAnsi="Cambria" w:eastAsia="Cambria"/>
          <w:sz w:val="24"/>
          <w:szCs w:val="24"/>
          <w:rtl w:val="0"/>
        </w:rPr>
        <w:t>16 odst. 1, 4 a 5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kona, nebo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ť </w:t>
      </w:r>
      <w:r>
        <w:rPr>
          <w:rFonts w:ascii="Cambria" w:cs="Cambria" w:hAnsi="Cambria" w:eastAsia="Cambria"/>
          <w:sz w:val="24"/>
          <w:szCs w:val="24"/>
          <w:rtl w:val="0"/>
        </w:rPr>
        <w:t>do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lo k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nep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pustn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mu zneu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</w:rPr>
        <w:t>it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komunika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ho m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dia obce k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volebn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kampani.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 p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itom 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slovn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zakazuje, aby k volebn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kampani byla vyu</w:t>
      </w:r>
      <w:r>
        <w:rPr>
          <w:rFonts w:ascii="Cambria" w:cs="Cambria" w:hAnsi="Cambria" w:eastAsia="Cambria"/>
          <w:sz w:val="24"/>
          <w:szCs w:val="24"/>
          <w:rtl w:val="0"/>
        </w:rPr>
        <w:t>ží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 komunika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dia obce (obecn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periodika), kdy za volebn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kampa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ň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</w:rPr>
        <w:t>pova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</w:rPr>
        <w:t>uje i sd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len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v neprosp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ch jin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kandiduj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politick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strany, politick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ho hnut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, koalice, jejich kandid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ta nebo nez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visl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ho kandid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ta.</w:t>
      </w: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tab/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mci p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edm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tn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nku byly uvedeny nepravdiv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informace jak ve vztahu k</w:t>
      </w:r>
      <w:r>
        <w:rPr>
          <w:rFonts w:ascii="Cambria" w:cs="Cambria" w:hAnsi="Cambria" w:eastAsia="Cambria"/>
          <w:sz w:val="24"/>
          <w:szCs w:val="24"/>
          <w:rtl w:val="0"/>
        </w:rPr>
        <w:t> Č</w:t>
      </w:r>
      <w:r>
        <w:rPr>
          <w:rFonts w:ascii="Cambria" w:cs="Cambria" w:hAnsi="Cambria" w:eastAsia="Cambria"/>
          <w:sz w:val="24"/>
          <w:szCs w:val="24"/>
          <w:rtl w:val="0"/>
        </w:rPr>
        <w:t>esk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pir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stran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, tak k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jej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mu reprezentantovi. Dle ust.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§ </w:t>
      </w:r>
      <w:r>
        <w:rPr>
          <w:rFonts w:ascii="Cambria" w:cs="Cambria" w:hAnsi="Cambria" w:eastAsia="Cambria"/>
          <w:sz w:val="24"/>
          <w:szCs w:val="24"/>
          <w:rtl w:val="0"/>
        </w:rPr>
        <w:t>16 odst. 5 v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ak mus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volebn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kampa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ň </w:t>
      </w:r>
      <w:r>
        <w:rPr>
          <w:rFonts w:ascii="Cambria" w:cs="Cambria" w:hAnsi="Cambria" w:eastAsia="Cambria"/>
          <w:sz w:val="24"/>
          <w:szCs w:val="24"/>
          <w:rtl w:val="0"/>
        </w:rPr>
        <w:t>prob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hat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estn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a poctiv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, zejm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na nesm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t o kandid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tech a politick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stran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ch nebo koalic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ch, na jejich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</w:rPr>
        <w:t>kandid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ch listin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ch jsou uvedeni, zve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ej</w:t>
      </w:r>
      <w:r>
        <w:rPr>
          <w:rFonts w:ascii="Cambria" w:cs="Cambria" w:hAnsi="Cambria" w:eastAsia="Cambria"/>
          <w:sz w:val="24"/>
          <w:szCs w:val="24"/>
          <w:rtl w:val="0"/>
        </w:rPr>
        <w:t>ň</w:t>
      </w:r>
      <w:r>
        <w:rPr>
          <w:rFonts w:ascii="Cambria" w:cs="Cambria" w:hAnsi="Cambria" w:eastAsia="Cambria"/>
          <w:sz w:val="24"/>
          <w:szCs w:val="24"/>
          <w:rtl w:val="0"/>
        </w:rPr>
        <w:t>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nepravdiv</w:t>
      </w:r>
      <w:r>
        <w:rPr>
          <w:rFonts w:ascii="Cambria" w:cs="Cambria" w:hAnsi="Cambria" w:eastAsia="Cambria"/>
          <w:sz w:val="24"/>
          <w:szCs w:val="24"/>
          <w:rtl w:val="0"/>
        </w:rPr>
        <w:t>é ú</w:t>
      </w:r>
      <w:r>
        <w:rPr>
          <w:rFonts w:ascii="Cambria" w:cs="Cambria" w:hAnsi="Cambria" w:eastAsia="Cambria"/>
          <w:sz w:val="24"/>
          <w:szCs w:val="24"/>
          <w:rtl w:val="0"/>
        </w:rPr>
        <w:t>daje. A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koliv bylo opakovan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potvrzeno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mci soudn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ho i spr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zen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</w:rPr>
        <w:t>e v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kon peti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ho 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mci Sob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slavsk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slavnost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je zcela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souladu s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mi p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edpisy,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obecn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 periodiku opakovan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vych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zej</w:t>
      </w:r>
      <w:r>
        <w:rPr>
          <w:rFonts w:ascii="Cambria" w:cs="Cambria" w:hAnsi="Cambria" w:eastAsia="Cambria"/>
          <w:sz w:val="24"/>
          <w:szCs w:val="24"/>
          <w:rtl w:val="0"/>
        </w:rPr>
        <w:t>í č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nky, kter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edm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tn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mi rozhodnut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mi soud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</w:rPr>
        <w:t>a spr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ch org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ů</w:t>
      </w:r>
      <w:r>
        <w:rPr>
          <w:rFonts w:ascii="Cambria" w:cs="Cambria" w:hAnsi="Cambria" w:eastAsia="Cambria"/>
          <w:sz w:val="24"/>
          <w:szCs w:val="24"/>
          <w:rtl w:val="0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íř</w:t>
      </w:r>
      <w:r>
        <w:rPr>
          <w:rFonts w:ascii="Cambria" w:cs="Cambria" w:hAnsi="Cambria" w:eastAsia="Cambria"/>
          <w:sz w:val="24"/>
          <w:szCs w:val="24"/>
          <w:rtl w:val="0"/>
        </w:rPr>
        <w:t>e polemizuj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, a jejich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</w:rPr>
        <w:t>hlavn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m 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lem je uv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st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ten</w:t>
      </w:r>
      <w:r>
        <w:rPr>
          <w:rFonts w:ascii="Cambria" w:cs="Cambria" w:hAnsi="Cambria" w:eastAsia="Cambria"/>
          <w:sz w:val="24"/>
          <w:szCs w:val="24"/>
          <w:rtl w:val="0"/>
        </w:rPr>
        <w:t>ář</w:t>
      </w:r>
      <w:r>
        <w:rPr>
          <w:rFonts w:ascii="Cambria" w:cs="Cambria" w:hAnsi="Cambria" w:eastAsia="Cambria"/>
          <w:sz w:val="24"/>
          <w:szCs w:val="24"/>
          <w:rtl w:val="0"/>
        </w:rPr>
        <w:t>e, tedy potencion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voli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e,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omyl a </w:t>
      </w:r>
      <w:r>
        <w:rPr>
          <w:rFonts w:ascii="Cambria" w:cs="Cambria" w:hAnsi="Cambria" w:eastAsia="Cambria"/>
          <w:sz w:val="24"/>
          <w:szCs w:val="24"/>
          <w:rtl w:val="0"/>
        </w:rPr>
        <w:t>úč</w:t>
      </w:r>
      <w:r>
        <w:rPr>
          <w:rFonts w:ascii="Cambria" w:cs="Cambria" w:hAnsi="Cambria" w:eastAsia="Cambria"/>
          <w:sz w:val="24"/>
          <w:szCs w:val="24"/>
          <w:rtl w:val="0"/>
        </w:rPr>
        <w:t>elov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po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kodit jak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eskou pir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tskou stranu, tak jej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reprezentanty.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edstavitel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sta Sob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slavi, resp. redakce obecn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 periodika soustavn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nerespektuj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e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 uveden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rozhodnut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org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ejn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moci a opakovan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to 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ci otiskuje zneva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uj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a nepravdiv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informace, kdy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sou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asn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 úč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inn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obrana proti tomuto nez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>konn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mu postupu je druh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stran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zna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zt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ena, ne-li zcela znemo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na. Ji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d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ve byly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 ze strany p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edstavitel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sta prezentov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ny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nepravdiv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informace o tom,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 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konu peti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 pr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va je nutn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povolen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ze strany org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sta nebo byla tato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innost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nepravdiv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ozna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ena za nepovolen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n-US"/>
        </w:rPr>
        <w:t>shroma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žď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ab/>
        <w:t>Řá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a nikoli zneu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vaj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kon peti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 pr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 (co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bylo 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slovn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potvrzeno dv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ma soudn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mi rozhodnut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mi a rozhodnut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 krajsk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ho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úř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adu) byl v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mci p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edm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ho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l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nku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v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jnov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m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sle Sob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slavsk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hl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sky nepravdiv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ozna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 za zneu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it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ejn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ch oslav 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politick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propagaci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. 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akov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zneva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ovan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konu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stavn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zaru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 pr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va (d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ve dokonce 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mci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stsk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 periodika ozna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ovan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 za neleg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ln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a zavr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hodnou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innost) lze ozna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it za hrub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poru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z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kladn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ch z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sad, na kter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ch stoj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demokratick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spole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nost a pr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t. Takov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jedn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, jeho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lem je zastra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 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i odrazen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é čá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sti ob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an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ů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, kter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by cht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la svobodn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projevit sv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n-US"/>
        </w:rPr>
        <w:t>zory pr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prost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ednictv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 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konu peti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ho pr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va, jist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nem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mci svobodn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spole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nosti sv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m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>sto a mus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b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 ze strany p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slu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ch org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sankcionov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>no.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tab/>
      </w:r>
      <w:r>
        <w:rPr>
          <w:rFonts w:ascii="Cambria" w:cs="Cambria" w:hAnsi="Cambria" w:eastAsia="Cambria"/>
          <w:sz w:val="24"/>
          <w:szCs w:val="24"/>
          <w:rtl w:val="0"/>
        </w:rPr>
        <w:t>Podle volebn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ho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kona je z</w:t>
      </w:r>
      <w:r>
        <w:rPr>
          <w:rFonts w:ascii="Cambria" w:cs="Cambria" w:hAnsi="Cambria" w:eastAsia="Cambria"/>
          <w:sz w:val="24"/>
          <w:szCs w:val="24"/>
          <w:rtl w:val="0"/>
        </w:rPr>
        <w:t>cela nep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pustn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, aby obecn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zpravodaj byl zneu</w:t>
      </w:r>
      <w:r>
        <w:rPr>
          <w:rFonts w:ascii="Cambria" w:cs="Cambria" w:hAnsi="Cambria" w:eastAsia="Cambria"/>
          <w:sz w:val="24"/>
          <w:szCs w:val="24"/>
          <w:rtl w:val="0"/>
        </w:rPr>
        <w:t>ží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nef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rov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mu volebn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mu boji, kdy jsou uv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ny nepravdiv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a zneva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</w:rPr>
        <w:t>uj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z w:val="24"/>
          <w:szCs w:val="24"/>
          <w:rtl w:val="0"/>
        </w:rPr>
        <w:t>í ú</w:t>
      </w:r>
      <w:r>
        <w:rPr>
          <w:rFonts w:ascii="Cambria" w:cs="Cambria" w:hAnsi="Cambria" w:eastAsia="Cambria"/>
          <w:sz w:val="24"/>
          <w:szCs w:val="24"/>
          <w:rtl w:val="0"/>
        </w:rPr>
        <w:t>daje v</w:t>
      </w:r>
      <w:r>
        <w:rPr>
          <w:rFonts w:ascii="Cambria" w:cs="Cambria" w:hAnsi="Cambria" w:eastAsia="Cambria"/>
          <w:sz w:val="24"/>
          <w:szCs w:val="24"/>
          <w:rtl w:val="0"/>
        </w:rPr>
        <w:t>ůč</w:t>
      </w:r>
      <w:r>
        <w:rPr>
          <w:rFonts w:ascii="Cambria" w:cs="Cambria" w:hAnsi="Cambria" w:eastAsia="Cambria"/>
          <w:sz w:val="24"/>
          <w:szCs w:val="24"/>
          <w:rtl w:val="0"/>
        </w:rPr>
        <w:t>i jedn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politick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stran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a jej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 kandid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ů</w:t>
      </w:r>
      <w:r>
        <w:rPr>
          <w:rFonts w:ascii="Cambria" w:cs="Cambria" w:hAnsi="Cambria" w:eastAsia="Cambria"/>
          <w:sz w:val="24"/>
          <w:szCs w:val="24"/>
          <w:rtl w:val="0"/>
        </w:rPr>
        <w:t>m, p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</w:rPr>
        <w:t>je z</w:t>
      </w:r>
      <w:r>
        <w:rPr>
          <w:rFonts w:ascii="Cambria" w:cs="Cambria" w:hAnsi="Cambria" w:eastAsia="Cambria"/>
          <w:sz w:val="24"/>
          <w:szCs w:val="24"/>
          <w:rtl w:val="0"/>
        </w:rPr>
        <w:t>ř</w:t>
      </w:r>
      <w:r>
        <w:rPr>
          <w:rFonts w:ascii="Cambria" w:cs="Cambria" w:hAnsi="Cambria" w:eastAsia="Cambria"/>
          <w:sz w:val="24"/>
          <w:szCs w:val="24"/>
          <w:rtl w:val="0"/>
        </w:rPr>
        <w:t>ejm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 tento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konn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kaz 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opodstatn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zejm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 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dob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volebn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kampan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. V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pad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nerespektov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tohoto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kazu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doch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naru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rtl w:val="0"/>
        </w:rPr>
        <w:t>í ú</w:t>
      </w:r>
      <w:r>
        <w:rPr>
          <w:rFonts w:ascii="Cambria" w:cs="Cambria" w:hAnsi="Cambria" w:eastAsia="Cambria"/>
          <w:sz w:val="24"/>
          <w:szCs w:val="24"/>
          <w:rtl w:val="0"/>
        </w:rPr>
        <w:t>stavn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</w:rPr>
        <w:t>zaru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sady voln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sout</w:t>
      </w:r>
      <w:r>
        <w:rPr>
          <w:rFonts w:ascii="Cambria" w:cs="Cambria" w:hAnsi="Cambria" w:eastAsia="Cambria"/>
          <w:sz w:val="24"/>
          <w:szCs w:val="24"/>
          <w:rtl w:val="0"/>
        </w:rPr>
        <w:t>ěž</w:t>
      </w:r>
      <w:r>
        <w:rPr>
          <w:rFonts w:ascii="Cambria" w:cs="Cambria" w:hAnsi="Cambria" w:eastAsia="Cambria"/>
          <w:sz w:val="24"/>
          <w:szCs w:val="24"/>
          <w:rtl w:val="0"/>
        </w:rPr>
        <w:t>e politick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stran, jako jednoho ze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kladn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ch princip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fungov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demokratick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ho 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ho st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tu. </w:t>
      </w: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tab/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ýš</w:t>
      </w:r>
      <w:r>
        <w:rPr>
          <w:rFonts w:ascii="Cambria" w:cs="Cambria" w:hAnsi="Cambria" w:eastAsia="Cambria"/>
          <w:sz w:val="24"/>
          <w:szCs w:val="24"/>
          <w:rtl w:val="0"/>
        </w:rPr>
        <w:t>e uveden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ch d</w:t>
      </w:r>
      <w:r>
        <w:rPr>
          <w:rFonts w:ascii="Cambria" w:cs="Cambria" w:hAnsi="Cambria" w:eastAsia="Cambria"/>
          <w:sz w:val="24"/>
          <w:szCs w:val="24"/>
          <w:rtl w:val="0"/>
        </w:rPr>
        <w:t>ů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ů žá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me, aby </w:t>
      </w:r>
      <w:r>
        <w:rPr>
          <w:rFonts w:ascii="Cambria" w:cs="Cambria" w:hAnsi="Cambria" w:eastAsia="Cambria"/>
          <w:sz w:val="24"/>
          <w:szCs w:val="24"/>
          <w:rtl w:val="0"/>
        </w:rPr>
        <w:t>Úř</w:t>
      </w:r>
      <w:r>
        <w:rPr>
          <w:rFonts w:ascii="Cambria" w:cs="Cambria" w:hAnsi="Cambria" w:eastAsia="Cambria"/>
          <w:sz w:val="24"/>
          <w:szCs w:val="24"/>
          <w:rtl w:val="0"/>
        </w:rPr>
        <w:t>ad zah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jil 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zen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 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moci </w:t>
      </w:r>
      <w:r>
        <w:rPr>
          <w:rFonts w:ascii="Cambria" w:cs="Cambria" w:hAnsi="Cambria" w:eastAsia="Cambria"/>
          <w:sz w:val="24"/>
          <w:szCs w:val="24"/>
          <w:rtl w:val="0"/>
        </w:rPr>
        <w:t>úř</w:t>
      </w:r>
      <w:r>
        <w:rPr>
          <w:rFonts w:ascii="Cambria" w:cs="Cambria" w:hAnsi="Cambria" w:eastAsia="Cambria"/>
          <w:sz w:val="24"/>
          <w:szCs w:val="24"/>
          <w:rtl w:val="0"/>
        </w:rPr>
        <w:t>edn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. Sou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asn</w:t>
      </w:r>
      <w:r>
        <w:rPr>
          <w:rFonts w:ascii="Cambria" w:cs="Cambria" w:hAnsi="Cambria" w:eastAsia="Cambria"/>
          <w:sz w:val="24"/>
          <w:szCs w:val="24"/>
          <w:rtl w:val="0"/>
        </w:rPr>
        <w:t>ě žá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me, aby 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 bylo sd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leno, jak byl tento podn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t vy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zen, a to do datov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schr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nky nebo na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"mailto:ivan.bartos@pirati.cz"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ivan.bartos@pirati.cz</w:t>
      </w:r>
      <w:r>
        <w:rPr/>
        <w:fldChar w:fldCharType="end" w:fldLock="0"/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</w:p>
    <w:p>
      <w:pPr>
        <w:pStyle w:val="Body A"/>
        <w:jc w:val="both"/>
        <w:rPr>
          <w:rFonts w:ascii="Cambria" w:cs="Cambria" w:hAnsi="Cambria" w:eastAsia="Cambria"/>
          <w:color w:val="666666"/>
          <w:sz w:val="24"/>
          <w:szCs w:val="24"/>
          <w:u w:color="666666"/>
        </w:rPr>
      </w:pPr>
    </w:p>
    <w:p>
      <w:pPr>
        <w:pStyle w:val="List Paragraph"/>
        <w:rPr>
          <w:rFonts w:ascii="Cambria" w:cs="Cambria" w:hAnsi="Cambria" w:eastAsia="Cambria"/>
        </w:rPr>
      </w:pPr>
    </w:p>
    <w:p>
      <w:pPr>
        <w:pStyle w:val="Normal.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S pozdravem</w:t>
      </w:r>
    </w:p>
    <w:p>
      <w:pPr>
        <w:pStyle w:val="Normal.0"/>
        <w:jc w:val="right"/>
        <w:rPr>
          <w:rFonts w:ascii="Cambria" w:cs="Cambria" w:hAnsi="Cambria" w:eastAsia="Cambria"/>
        </w:rPr>
      </w:pPr>
    </w:p>
    <w:p>
      <w:pPr>
        <w:pStyle w:val="Normal.0"/>
        <w:jc w:val="right"/>
        <w:rPr>
          <w:rFonts w:ascii="Cambria" w:cs="Cambria" w:hAnsi="Cambria" w:eastAsia="Cambria"/>
        </w:rPr>
      </w:pPr>
    </w:p>
    <w:p>
      <w:pPr>
        <w:pStyle w:val="Normal.0"/>
        <w:jc w:val="right"/>
        <w:rPr>
          <w:rFonts w:ascii="Cambria" w:cs="Cambria" w:hAnsi="Cambria" w:eastAsia="Cambria"/>
        </w:rPr>
      </w:pPr>
    </w:p>
    <w:p>
      <w:pPr>
        <w:pStyle w:val="Normal.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Ivan Barto</w:t>
      </w:r>
      <w:r>
        <w:rPr>
          <w:rFonts w:ascii="Cambria" w:cs="Cambria" w:hAnsi="Cambria" w:eastAsia="Cambria"/>
          <w:rtl w:val="0"/>
          <w:lang w:val="en-US"/>
        </w:rPr>
        <w:t>š</w:t>
      </w:r>
    </w:p>
    <w:p>
      <w:pPr>
        <w:pStyle w:val="Normal.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p</w:t>
      </w:r>
      <w:r>
        <w:rPr>
          <w:rFonts w:ascii="Cambria" w:cs="Cambria" w:hAnsi="Cambria" w:eastAsia="Cambria"/>
          <w:rtl w:val="0"/>
          <w:lang w:val="en-US"/>
        </w:rPr>
        <w:t>ř</w:t>
      </w:r>
      <w:r>
        <w:rPr>
          <w:rFonts w:ascii="Cambria" w:cs="Cambria" w:hAnsi="Cambria" w:eastAsia="Cambria"/>
          <w:rtl w:val="0"/>
          <w:lang w:val="en-US"/>
        </w:rPr>
        <w:t xml:space="preserve">edseda </w:t>
      </w:r>
      <w:r>
        <w:rPr>
          <w:rFonts w:ascii="Cambria" w:cs="Cambria" w:hAnsi="Cambria" w:eastAsia="Cambria"/>
          <w:rtl w:val="0"/>
          <w:lang w:val="en-US"/>
        </w:rPr>
        <w:t>Č</w:t>
      </w:r>
      <w:r>
        <w:rPr>
          <w:rFonts w:ascii="Cambria" w:cs="Cambria" w:hAnsi="Cambria" w:eastAsia="Cambria"/>
          <w:rtl w:val="0"/>
          <w:lang w:val="en-US"/>
        </w:rPr>
        <w:t>esk</w:t>
      </w:r>
      <w:r>
        <w:rPr>
          <w:rFonts w:ascii="Cambria" w:cs="Cambria" w:hAnsi="Cambria" w:eastAsia="Cambria"/>
          <w:rtl w:val="0"/>
          <w:lang w:val="en-US"/>
        </w:rPr>
        <w:t xml:space="preserve">é </w:t>
      </w:r>
      <w:r>
        <w:rPr>
          <w:rFonts w:ascii="Cambria" w:cs="Cambria" w:hAnsi="Cambria" w:eastAsia="Cambria"/>
          <w:rtl w:val="0"/>
          <w:lang w:val="en-US"/>
        </w:rPr>
        <w:t>pir</w:t>
      </w:r>
      <w:r>
        <w:rPr>
          <w:rFonts w:ascii="Cambria" w:cs="Cambria" w:hAnsi="Cambria" w:eastAsia="Cambria"/>
          <w:rtl w:val="0"/>
          <w:lang w:val="en-US"/>
        </w:rPr>
        <w:t>á</w:t>
      </w:r>
      <w:r>
        <w:rPr>
          <w:rFonts w:ascii="Cambria" w:cs="Cambria" w:hAnsi="Cambria" w:eastAsia="Cambria"/>
          <w:rtl w:val="0"/>
          <w:lang w:val="en-US"/>
        </w:rPr>
        <w:t>tsk</w:t>
      </w:r>
      <w:r>
        <w:rPr>
          <w:rFonts w:ascii="Cambria" w:cs="Cambria" w:hAnsi="Cambria" w:eastAsia="Cambria"/>
          <w:rtl w:val="0"/>
          <w:lang w:val="en-US"/>
        </w:rPr>
        <w:t xml:space="preserve">é </w:t>
      </w:r>
      <w:r>
        <w:rPr>
          <w:rFonts w:ascii="Cambria" w:cs="Cambria" w:hAnsi="Cambria" w:eastAsia="Cambria"/>
          <w:rtl w:val="0"/>
          <w:lang w:val="en-US"/>
        </w:rPr>
        <w:t>strany</w:t>
      </w:r>
    </w:p>
    <w:p>
      <w:pPr>
        <w:pStyle w:val="Normal.0"/>
        <w:rPr>
          <w:rFonts w:ascii="Cambria" w:cs="Cambria" w:hAnsi="Cambria" w:eastAsia="Cambria"/>
          <w:shd w:val="clear" w:color="auto" w:fill="ffff00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lohy: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Sob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slavsk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hl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 xml:space="preserve">ska </w:t>
      </w:r>
      <w:r>
        <w:rPr>
          <w:rFonts w:ascii="Cambria" w:cs="Cambria" w:hAnsi="Cambria" w:eastAsia="Cambria"/>
          <w:sz w:val="24"/>
          <w:szCs w:val="24"/>
          <w:rtl w:val="0"/>
        </w:rPr>
        <w:t>– ří</w:t>
      </w:r>
      <w:r>
        <w:rPr>
          <w:rFonts w:ascii="Cambria" w:cs="Cambria" w:hAnsi="Cambria" w:eastAsia="Cambria"/>
          <w:sz w:val="24"/>
          <w:szCs w:val="24"/>
          <w:rtl w:val="0"/>
        </w:rPr>
        <w:t>jen 2017 (str. 6)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Rozsudek Krajsk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soudu v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esk</w:t>
      </w:r>
      <w:r>
        <w:rPr>
          <w:rFonts w:ascii="Cambria" w:cs="Cambria" w:hAnsi="Cambria" w:eastAsia="Cambria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>ch Bud</w:t>
      </w:r>
      <w:r>
        <w:rPr>
          <w:rFonts w:ascii="Cambria" w:cs="Cambria" w:hAnsi="Cambria" w:eastAsia="Cambria"/>
          <w:sz w:val="24"/>
          <w:szCs w:val="24"/>
          <w:rtl w:val="0"/>
        </w:rPr>
        <w:t>ě</w:t>
      </w:r>
      <w:r>
        <w:rPr>
          <w:rFonts w:ascii="Cambria" w:cs="Cambria" w:hAnsi="Cambria" w:eastAsia="Cambria"/>
          <w:sz w:val="24"/>
          <w:szCs w:val="24"/>
          <w:rtl w:val="0"/>
        </w:rPr>
        <w:t>jovic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ch ze dne 7. dubna 2016,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.j. 10A 210/2015 - 25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Rozsudek Nejvy</w:t>
      </w:r>
      <w:r>
        <w:rPr>
          <w:rFonts w:ascii="Cambria" w:cs="Cambria" w:hAnsi="Cambria" w:eastAsia="Cambria"/>
          <w:sz w:val="24"/>
          <w:szCs w:val="24"/>
          <w:rtl w:val="0"/>
        </w:rPr>
        <w:t>šší</w:t>
      </w:r>
      <w:r>
        <w:rPr>
          <w:rFonts w:ascii="Cambria" w:cs="Cambria" w:hAnsi="Cambria" w:eastAsia="Cambria"/>
          <w:sz w:val="24"/>
          <w:szCs w:val="24"/>
          <w:rtl w:val="0"/>
        </w:rPr>
        <w:t>ho spr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soudu ze dne 28. dubna 2017,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.j. 5 As 95/2016 - 76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Rozhodnut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Krajsk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</w:rPr>
        <w:t>úř</w:t>
      </w:r>
      <w:r>
        <w:rPr>
          <w:rFonts w:ascii="Cambria" w:cs="Cambria" w:hAnsi="Cambria" w:eastAsia="Cambria"/>
          <w:sz w:val="24"/>
          <w:szCs w:val="24"/>
          <w:rtl w:val="0"/>
        </w:rPr>
        <w:t>adu Jiho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esk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 kraje ze dne 28.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ervna 2017, 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.j. KUJCK 80316/2017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jc w:val="both"/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